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INE · Estadísticas Policiales</w:t>
      </w:r>
    </w:p>
    <w:bookmarkStart w:id="20" w:name="resumen-operativo"/>
    <w:p>
      <w:pPr>
        <w:pStyle w:val="Heading2"/>
      </w:pPr>
      <w:r>
        <w:t xml:space="preserve">Resumen operativo</w:t>
      </w:r>
    </w:p>
    <w:p>
      <w:pPr>
        <w:pStyle w:val="FirstParagraph"/>
      </w:pPr>
      <w:r>
        <w:t xml:space="preserve">Qué se publica</w:t>
      </w:r>
    </w:p>
    <w:p>
      <w:pPr>
        <w:pStyle w:val="BodyText"/>
      </w:pPr>
      <w:r>
        <w:t xml:space="preserve">Este reporte concentra los tableros y verificaciones construidos sobre el catálogo</w:t>
      </w:r>
      <w:r>
        <w:t xml:space="preserve"> </w:t>
      </w:r>
      <w:r>
        <w:t xml:space="preserve">ine_estadisticas_policiales</w:t>
      </w:r>
      <w:r>
        <w:t xml:space="preserve">. La información proviene de los cuadros del INE</w:t>
      </w:r>
      <w:r>
        <w:t xml:space="preserve"> </w:t>
      </w:r>
      <w:r>
        <w:t xml:space="preserve">(Carabineros y PDI, 2013-2024) normalizados en Postgres (</w:t>
      </w:r>
      <w:r>
        <w:t xml:space="preserve">bronze</w:t>
      </w:r>
      <w:r>
        <w:t xml:space="preserve">,</w:t>
      </w:r>
      <w:r>
        <w:t xml:space="preserve"> </w:t>
      </w:r>
      <w:r>
        <w:t xml:space="preserve">silver</w:t>
      </w:r>
      <w:r>
        <w:t xml:space="preserve">,</w:t>
      </w:r>
      <w:r>
        <w:t xml:space="preserve"> </w:t>
      </w:r>
      <w:r>
        <w:t xml:space="preserve">gold</w:t>
      </w:r>
      <w:r>
        <w:t xml:space="preserve">) y expuestos mediante la API pública.</w:t>
      </w:r>
    </w:p>
    <w:p>
      <w:pPr>
        <w:pStyle w:val="BodyText"/>
      </w:pPr>
      <w:r>
        <w:t xml:space="preserve">Ficha completa del catálogo</w:t>
      </w:r>
    </w:p>
    <w:p>
      <w:pPr>
        <w:pStyle w:val="BodyText"/>
      </w:pPr>
      <w:r>
        <w:t xml:space="preserve">Documentación técnica y metodología</w:t>
      </w:r>
    </w:p>
    <w:p>
      <w:pPr>
        <w:pStyle w:val="BodyText"/>
      </w:pPr>
      <w:r>
        <w:t xml:space="preserve">Diccionario de regiones policiales</w:t>
      </w:r>
    </w:p>
    <w:p>
      <w:pPr>
        <w:pStyle w:val="BodyText"/>
      </w:pPr>
      <w:r>
        <w:t xml:space="preserve">Endpoints clave:</w:t>
      </w:r>
      <w:r>
        <w:t xml:space="preserve"> </w:t>
      </w:r>
      <w:r>
        <w:t xml:space="preserve">/policiales/resumen</w:t>
      </w:r>
      <w:r>
        <w:t xml:space="preserve">,</w:t>
      </w:r>
      <w:r>
        <w:t xml:space="preserve"> </w:t>
      </w:r>
      <w:r>
        <w:t xml:space="preserve">/policiales/materia</w:t>
      </w:r>
      <w:r>
        <w:t xml:space="preserve">,</w:t>
      </w:r>
      <w:r>
        <w:t xml:space="preserve"> </w:t>
      </w:r>
      <w:r>
        <w:t xml:space="preserve">/policiales/interoperabilidad/enusc</w:t>
      </w:r>
      <w:r>
        <w:t xml:space="preserve"> </w:t>
      </w:r>
      <w:r>
        <w:t xml:space="preserve">y</w:t>
      </w:r>
      <w:r>
        <w:t xml:space="preserve"> </w:t>
      </w:r>
      <w:r>
        <w:t xml:space="preserve">/policiales/interoperabilidad/fiscalia</w:t>
      </w:r>
      <w:r>
        <w:t xml:space="preserve">,</w:t>
      </w:r>
      <w:r>
        <w:t xml:space="preserve"> </w:t>
      </w:r>
      <w:r>
        <w:t xml:space="preserve">además de la consulta genérica</w:t>
      </w:r>
      <w:r>
        <w:t xml:space="preserve"> </w:t>
      </w:r>
      <w:r>
        <w:t xml:space="preserve">/data/silver.ine_policiales_mediciones</w:t>
      </w:r>
      <w:r>
        <w:t xml:space="preserve">.</w:t>
      </w:r>
    </w:p>
    <w:bookmarkEnd w:id="20"/>
    <w:bookmarkStart w:id="24" w:name="totales-regionales"/>
    <w:p>
      <w:pPr>
        <w:pStyle w:val="Heading2"/>
      </w:pPr>
      <w:r>
        <w:t xml:space="preserve">Totales regionales</w:t>
      </w:r>
    </w:p>
    <w:p>
      <w:pPr>
        <w:pStyle w:val="FirstParagraph"/>
      </w:pPr>
      <w:r>
        <w:t xml:space="preserve">gold.ine_policiales_region_resumen</w:t>
      </w:r>
    </w:p>
    <w:p>
      <w:pPr>
        <w:pStyle w:val="SourceCode"/>
      </w:pPr>
      <w:r>
        <w:rPr>
          <w:rStyle w:val="VerbatimChar"/>
        </w:rPr>
        <w:t xml:space="preserve">  &lt;a</w:t>
      </w:r>
      <w:r>
        <w:br/>
      </w:r>
      <w:r>
        <w:rPr>
          <w:rStyle w:val="VerbatimChar"/>
        </w:rPr>
        <w:t xml:space="preserve">    class="button button--ghost"</w:t>
      </w:r>
      <w:r>
        <w:br/>
      </w:r>
      <w:r>
        <w:rPr>
          <w:rStyle w:val="VerbatimChar"/>
        </w:rPr>
        <w:t xml:space="preserve">    href="/api/data/gold.ine_policiales_region_resumen?limit=500"</w:t>
      </w:r>
      <w:r>
        <w:br/>
      </w:r>
      <w:r>
        <w:rPr>
          <w:rStyle w:val="VerbatimChar"/>
        </w:rPr>
        <w:t xml:space="preserve">    target="_blank"</w:t>
      </w:r>
      <w:r>
        <w:br/>
      </w:r>
      <w:r>
        <w:rPr>
          <w:rStyle w:val="VerbatimChar"/>
        </w:rPr>
        <w:t xml:space="preserve">    rel="noopener"</w:t>
      </w:r>
      <w:r>
        <w:br/>
      </w:r>
      <w:r>
        <w:rPr>
          <w:rStyle w:val="VerbatimChar"/>
        </w:rPr>
        <w:t xml:space="preserve">  &gt;Ver JSON&lt;/a&gt;</w:t>
      </w:r>
      <w:r>
        <w:br/>
      </w:r>
      <w:r>
        <w:rPr>
          <w:rStyle w:val="VerbatimChar"/>
        </w:rPr>
        <w:t xml:space="preserve">&lt;/div&gt;</w:t>
      </w:r>
    </w:p>
    <w:p>
      <w:pPr>
        <w:pStyle w:val="SourceCode"/>
      </w:pPr>
      <w:r>
        <w:rPr>
          <w:rStyle w:val="VerbatimChar"/>
        </w:rPr>
        <w:t xml:space="preserve">&lt;div class="dataset-viz__controls"&gt;</w:t>
      </w:r>
      <w:r>
        <w:br/>
      </w:r>
      <w:r>
        <w:rPr>
          <w:rStyle w:val="VerbatimChar"/>
        </w:rPr>
        <w:t xml:space="preserve">  &lt;label&gt;Dimensión</w:t>
      </w:r>
      <w:r>
        <w:br/>
      </w:r>
      <w:r>
        <w:rPr>
          <w:rStyle w:val="VerbatimChar"/>
        </w:rPr>
        <w:t xml:space="preserve">    &lt;select data-dimension&gt;&lt;/select&gt;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  &lt;label&gt;Métrica</w:t>
      </w:r>
      <w:r>
        <w:br/>
      </w:r>
      <w:r>
        <w:rPr>
          <w:rStyle w:val="VerbatimChar"/>
        </w:rPr>
        <w:t xml:space="preserve">    &lt;select data-metric&gt;&lt;/select&gt;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  &lt;label&gt;Tipo de gráfico</w:t>
      </w:r>
      <w:r>
        <w:br/>
      </w:r>
      <w:r>
        <w:rPr>
          <w:rStyle w:val="VerbatimChar"/>
        </w:rPr>
        <w:t xml:space="preserve">    &lt;select data-chart-type&gt;</w:t>
      </w:r>
      <w:r>
        <w:br/>
      </w:r>
      <w:r>
        <w:rPr>
          <w:rStyle w:val="VerbatimChar"/>
        </w:rPr>
        <w:t xml:space="preserve">      &lt;option value="bar"&gt;Barras&lt;/option&gt;</w:t>
      </w:r>
      <w:r>
        <w:br/>
      </w:r>
      <w:r>
        <w:rPr>
          <w:rStyle w:val="VerbatimChar"/>
        </w:rPr>
        <w:t xml:space="preserve">      &lt;option value="line"&gt;Líneas&lt;/option&gt;</w:t>
      </w:r>
      <w:r>
        <w:br/>
      </w:r>
      <w:r>
        <w:rPr>
          <w:rStyle w:val="VerbatimChar"/>
        </w:rPr>
        <w:t xml:space="preserve">    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 class="dataset-viz__chart"&gt;</w:t>
      </w:r>
      <w:r>
        <w:br/>
      </w:r>
      <w:r>
        <w:rPr>
          <w:rStyle w:val="VerbatimChar"/>
        </w:rPr>
        <w:t xml:space="preserve">  &lt;canvas data-chart aria-label="Totales regionales"&gt;&lt;/canvas&gt;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 class="dataset-viz__table" data-table-container&gt;&lt;/div&gt;</w:t>
      </w:r>
    </w:p>
    <w:bookmarkStart w:id="23" w:name="comparativo-enusc-fiscalía"/>
    <w:p>
      <w:pPr>
        <w:pStyle w:val="Heading2"/>
      </w:pPr>
      <w:r>
        <w:t xml:space="preserve">Comparativo ENUSC / Fiscalía</w:t>
      </w:r>
    </w:p>
    <w:p>
      <w:pPr>
        <w:pStyle w:val="FirstParagraph"/>
      </w:pPr>
      <w:r>
        <w:t xml:space="preserve">gold.ine_policiales_comparativo</w:t>
      </w:r>
    </w:p>
    <w:p>
      <w:pPr>
        <w:pStyle w:val="SourceCode"/>
      </w:pPr>
      <w:r>
        <w:rPr>
          <w:rStyle w:val="VerbatimChar"/>
        </w:rPr>
        <w:t xml:space="preserve">  &lt;a</w:t>
      </w:r>
      <w:r>
        <w:br/>
      </w:r>
      <w:r>
        <w:rPr>
          <w:rStyle w:val="VerbatimChar"/>
        </w:rPr>
        <w:t xml:space="preserve">    class="button button--ghost"</w:t>
      </w:r>
      <w:r>
        <w:br/>
      </w:r>
      <w:r>
        <w:rPr>
          <w:rStyle w:val="VerbatimChar"/>
        </w:rPr>
        <w:t xml:space="preserve">    href="/api/data/gold.ine_policiales_comparativo?limit=500"</w:t>
      </w:r>
      <w:r>
        <w:br/>
      </w:r>
      <w:r>
        <w:rPr>
          <w:rStyle w:val="VerbatimChar"/>
        </w:rPr>
        <w:t xml:space="preserve">    target="_blank"</w:t>
      </w:r>
      <w:r>
        <w:br/>
      </w:r>
      <w:r>
        <w:rPr>
          <w:rStyle w:val="VerbatimChar"/>
        </w:rPr>
        <w:t xml:space="preserve">    rel="noopener"</w:t>
      </w:r>
      <w:r>
        <w:br/>
      </w:r>
      <w:r>
        <w:rPr>
          <w:rStyle w:val="VerbatimChar"/>
        </w:rPr>
        <w:t xml:space="preserve">  &gt;Ver JSON&lt;/a&gt;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&lt;p&gt;</w:t>
      </w:r>
      <w:r>
        <w:br/>
      </w:r>
      <w:r>
        <w:rPr>
          <w:rStyle w:val="VerbatimChar"/>
        </w:rPr>
        <w:t xml:space="preserve">  Vista que cruza denuncias INE con ENUSC y Fiscalía. Considera el diccionario de regiones</w:t>
      </w:r>
      <w:r>
        <w:br/>
      </w:r>
      <w:r>
        <w:rPr>
          <w:rStyle w:val="VerbatimChar"/>
        </w:rPr>
        <w:t xml:space="preserve">  policiales (&lt;code&gt;region_cut&lt;/code&gt;, &lt;code&gt;region_iso&lt;/code&gt;) para alinear catálogos.</w:t>
      </w:r>
      <w:r>
        <w:br/>
      </w:r>
      <w:r>
        <w:rPr>
          <w:rStyle w:val="VerbatimChar"/>
        </w:rPr>
        <w:t xml:space="preserve">&lt;/p&gt;</w:t>
      </w:r>
    </w:p>
    <w:p>
      <w:pPr>
        <w:pStyle w:val="SourceCode"/>
      </w:pPr>
      <w:r>
        <w:rPr>
          <w:rStyle w:val="VerbatimChar"/>
        </w:rPr>
        <w:t xml:space="preserve">&lt;div class="dataset-viz__controls"&gt;</w:t>
      </w:r>
      <w:r>
        <w:br/>
      </w:r>
      <w:r>
        <w:rPr>
          <w:rStyle w:val="VerbatimChar"/>
        </w:rPr>
        <w:t xml:space="preserve">  &lt;label&gt;Dimensión</w:t>
      </w:r>
      <w:r>
        <w:br/>
      </w:r>
      <w:r>
        <w:rPr>
          <w:rStyle w:val="VerbatimChar"/>
        </w:rPr>
        <w:t xml:space="preserve">    &lt;select data-dimension&gt;&lt;/select&gt;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  &lt;label&gt;Métrica</w:t>
      </w:r>
      <w:r>
        <w:br/>
      </w:r>
      <w:r>
        <w:rPr>
          <w:rStyle w:val="VerbatimChar"/>
        </w:rPr>
        <w:t xml:space="preserve">    &lt;select data-metric&gt;&lt;/select&gt;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  &lt;label&gt;Tipo de gráfico</w:t>
      </w:r>
      <w:r>
        <w:br/>
      </w:r>
      <w:r>
        <w:rPr>
          <w:rStyle w:val="VerbatimChar"/>
        </w:rPr>
        <w:t xml:space="preserve">    &lt;select data-chart-type&gt;</w:t>
      </w:r>
      <w:r>
        <w:br/>
      </w:r>
      <w:r>
        <w:rPr>
          <w:rStyle w:val="VerbatimChar"/>
        </w:rPr>
        <w:t xml:space="preserve">      &lt;option value="bar"&gt;Barras&lt;/option&gt;</w:t>
      </w:r>
      <w:r>
        <w:br/>
      </w:r>
      <w:r>
        <w:rPr>
          <w:rStyle w:val="VerbatimChar"/>
        </w:rPr>
        <w:t xml:space="preserve">      &lt;option value="line"&gt;Líneas&lt;/option&gt;</w:t>
      </w:r>
      <w:r>
        <w:br/>
      </w:r>
      <w:r>
        <w:rPr>
          <w:rStyle w:val="VerbatimChar"/>
        </w:rPr>
        <w:t xml:space="preserve">    &lt;/select&gt;</w:t>
      </w:r>
      <w:r>
        <w:br/>
      </w:r>
      <w:r>
        <w:rPr>
          <w:rStyle w:val="VerbatimChar"/>
        </w:rPr>
        <w:t xml:space="preserve">  &lt;/label&gt;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 class="dataset-viz__chart"&gt;</w:t>
      </w:r>
      <w:r>
        <w:br/>
      </w:r>
      <w:r>
        <w:rPr>
          <w:rStyle w:val="VerbatimChar"/>
        </w:rPr>
        <w:t xml:space="preserve">  &lt;canvas data-chart aria-label="Comparativo interoperabilidad"&gt;&lt;/canvas&gt;</w:t>
      </w:r>
      <w:r>
        <w:br/>
      </w:r>
      <w:r>
        <w:rPr>
          <w:rStyle w:val="VerbatimChar"/>
        </w:rPr>
        <w:t xml:space="preserve">&lt;/div&gt;</w:t>
      </w:r>
      <w:r>
        <w:br/>
      </w:r>
      <w:r>
        <w:rPr>
          <w:rStyle w:val="VerbatimChar"/>
        </w:rPr>
        <w:t xml:space="preserve">&lt;div class="dataset-viz__table" data-table-container&gt;&lt;/div&gt;</w:t>
      </w:r>
    </w:p>
    <w:bookmarkStart w:id="21" w:name="diccionario-de-regiones-policiales"/>
    <w:p>
      <w:pPr>
        <w:pStyle w:val="Heading2"/>
      </w:pPr>
      <w:r>
        <w:t xml:space="preserve">Diccionario de regiones policiales</w:t>
      </w:r>
    </w:p>
    <w:p>
      <w:pPr>
        <w:pStyle w:val="FirstParagraph"/>
      </w:pPr>
      <w:r>
        <w:t xml:space="preserve">Buscar códigos oficiales</w:t>
      </w:r>
    </w:p>
    <w:p>
      <w:pPr>
        <w:pStyle w:val="BodyText"/>
      </w:pPr>
      <w:r>
        <w:t xml:space="preserve">El diccionario se genera desde</w:t>
      </w:r>
      <w:r>
        <w:t xml:space="preserve"> </w:t>
      </w:r>
      <w:r>
        <w:t xml:space="preserve">ine_region_policial_dim.csv</w:t>
      </w:r>
      <w:r>
        <w:t xml:space="preserve"> </w:t>
      </w:r>
      <w:r>
        <w:t xml:space="preserve">y consolida los códigos</w:t>
      </w:r>
      <w:r>
        <w:t xml:space="preserve"> </w:t>
      </w:r>
      <w:r>
        <w:t xml:space="preserve">policiales (</w:t>
      </w:r>
      <w:r>
        <w:t xml:space="preserve">I…XVI</w:t>
      </w:r>
      <w:r>
        <w:t xml:space="preserve">,</w:t>
      </w:r>
      <w:r>
        <w:t xml:space="preserve"> </w:t>
      </w:r>
      <w:r>
        <w:t xml:space="preserve">JNA</w:t>
      </w:r>
      <w:r>
        <w:t xml:space="preserve">,</w:t>
      </w:r>
      <w:r>
        <w:t xml:space="preserve"> </w:t>
      </w:r>
      <w:r>
        <w:t xml:space="preserve">TOTAL</w:t>
      </w:r>
      <w:r>
        <w:t xml:space="preserve">) con sus equivalentes oficiales</w:t>
      </w:r>
      <w:r>
        <w:t xml:space="preserve"> </w:t>
      </w:r>
      <w:r>
        <w:t xml:space="preserve">(CUT e ISO). Utiliza el buscador para filtrar por código o nombre.</w:t>
      </w:r>
    </w:p>
    <w:p>
      <w:pPr>
        <w:pStyle w:val="BodyText"/>
      </w:pPr>
      <w:r>
        <w:t xml:space="preserve"> </w:t>
      </w:r>
      <w:r>
        <w:t xml:space="preserve">Buscar</w:t>
      </w:r>
      <w:r>
        <w:t xml:space="preserve"> </w:t>
      </w:r>
      <w:r>
        <w:t xml:space="preserve"> </w:t>
      </w:r>
    </w:p>
    <w:p>
      <w:pPr>
        <w:pStyle w:val="SourceCode"/>
      </w:pPr>
      <w:r>
        <w:rPr>
          <w:rStyle w:val="VerbatimChar"/>
        </w:rPr>
        <w:t xml:space="preserve">&lt;table data-region-table&gt;</w:t>
      </w:r>
      <w:r>
        <w:br/>
      </w:r>
      <w:r>
        <w:rPr>
          <w:rStyle w:val="VerbatimChar"/>
        </w:rPr>
        <w:t xml:space="preserve">  &lt;thead&gt;</w:t>
      </w:r>
      <w:r>
        <w:br/>
      </w:r>
      <w:r>
        <w:rPr>
          <w:rStyle w:val="VerbatimChar"/>
        </w:rPr>
        <w:t xml:space="preserve">    &lt;tr&gt;</w:t>
      </w:r>
      <w:r>
        <w:br/>
      </w:r>
      <w:r>
        <w:rPr>
          <w:rStyle w:val="VerbatimChar"/>
        </w:rPr>
        <w:t xml:space="preserve">      &lt;th&gt;region_id&lt;/th&gt;</w:t>
      </w:r>
      <w:r>
        <w:br/>
      </w:r>
      <w:r>
        <w:rPr>
          <w:rStyle w:val="VerbatimChar"/>
        </w:rPr>
        <w:t xml:space="preserve">      &lt;th&gt;region_codigo&lt;/th&gt;</w:t>
      </w:r>
      <w:r>
        <w:br/>
      </w:r>
      <w:r>
        <w:rPr>
          <w:rStyle w:val="VerbatimChar"/>
        </w:rPr>
        <w:t xml:space="preserve">      &lt;th&gt;region_nombre&lt;/th&gt;</w:t>
      </w:r>
      <w:r>
        <w:br/>
      </w:r>
      <w:r>
        <w:rPr>
          <w:rStyle w:val="VerbatimChar"/>
        </w:rPr>
        <w:t xml:space="preserve">      &lt;th&gt;region_iso&lt;/th&gt;</w:t>
      </w:r>
      <w:r>
        <w:br/>
      </w:r>
      <w:r>
        <w:rPr>
          <w:rStyle w:val="VerbatimChar"/>
        </w:rPr>
        <w:t xml:space="preserve">      &lt;th&gt;region_cut&lt;/th&gt;</w:t>
      </w:r>
      <w:r>
        <w:br/>
      </w:r>
      <w:r>
        <w:rPr>
          <w:rStyle w:val="VerbatimChar"/>
        </w:rPr>
        <w:t xml:space="preserve">    &lt;/tr&gt;</w:t>
      </w:r>
      <w:r>
        <w:br/>
      </w:r>
      <w:r>
        <w:rPr>
          <w:rStyle w:val="VerbatimChar"/>
        </w:rPr>
        <w:t xml:space="preserve">  &lt;/thead&gt;</w:t>
      </w:r>
      <w:r>
        <w:br/>
      </w:r>
      <w:r>
        <w:rPr>
          <w:rStyle w:val="VerbatimChar"/>
        </w:rPr>
        <w:t xml:space="preserve">  &lt;tbody&gt;</w:t>
      </w:r>
      <w:r>
        <w:br/>
      </w:r>
      <w:r>
        <w:rPr>
          <w:rStyle w:val="VerbatimChar"/>
        </w:rPr>
        <w:t xml:space="preserve">    &lt;tr&gt;&lt;td&gt;1&lt;/td&gt;&lt;td&gt;I&lt;/td&gt;&lt;td&gt;Tarapacá&lt;/td&gt;&lt;td&gt;CL-TA&lt;/td&gt;&lt;td&gt;01&lt;/td&gt;&lt;/tr&gt;</w:t>
      </w:r>
      <w:r>
        <w:br/>
      </w:r>
      <w:r>
        <w:rPr>
          <w:rStyle w:val="VerbatimChar"/>
        </w:rPr>
        <w:t xml:space="preserve">    &lt;tr&gt;&lt;td&gt;2&lt;/td&gt;&lt;td&gt;II&lt;/td&gt;&lt;td&gt;Antofagasta&lt;/td&gt;&lt;td&gt;CL-AN&lt;/td&gt;&lt;td&gt;02&lt;/td&gt;&lt;/tr&gt;</w:t>
      </w:r>
      <w:r>
        <w:br/>
      </w:r>
      <w:r>
        <w:rPr>
          <w:rStyle w:val="VerbatimChar"/>
        </w:rPr>
        <w:t xml:space="preserve">    &lt;tr&gt;&lt;td&gt;3&lt;/td&gt;&lt;td&gt;III&lt;/td&gt;&lt;td&gt;Atacama&lt;/td&gt;&lt;td&gt;CL-AT&lt;/td&gt;&lt;td&gt;03&lt;/td&gt;&lt;/tr&gt;</w:t>
      </w:r>
      <w:r>
        <w:br/>
      </w:r>
      <w:r>
        <w:rPr>
          <w:rStyle w:val="VerbatimChar"/>
        </w:rPr>
        <w:t xml:space="preserve">    &lt;tr&gt;&lt;td&gt;4&lt;/td&gt;&lt;td&gt;IV&lt;/td&gt;&lt;td&gt;Coquimbo&lt;/td&gt;&lt;td&gt;CL-CO&lt;/td&gt;&lt;td&gt;04&lt;/td&gt;&lt;/tr&gt;</w:t>
      </w:r>
      <w:r>
        <w:br/>
      </w:r>
      <w:r>
        <w:rPr>
          <w:rStyle w:val="VerbatimChar"/>
        </w:rPr>
        <w:t xml:space="preserve">    &lt;tr&gt;&lt;td&gt;5&lt;/td&gt;&lt;td&gt;V&lt;/td&gt;&lt;td&gt;Valparaíso&lt;/td&gt;&lt;td&gt;CL-VS&lt;/td&gt;&lt;td&gt;05&lt;/td&gt;&lt;/tr&gt;</w:t>
      </w:r>
      <w:r>
        <w:br/>
      </w:r>
      <w:r>
        <w:rPr>
          <w:rStyle w:val="VerbatimChar"/>
        </w:rPr>
        <w:t xml:space="preserve">    &lt;tr&gt;&lt;td&gt;6&lt;/td&gt;&lt;td&gt;VI&lt;/td&gt;&lt;td&gt;O'Higgins&lt;/td&gt;&lt;td&gt;CL-LI&lt;/td&gt;&lt;td&gt;06&lt;/td&gt;&lt;/tr&gt;</w:t>
      </w:r>
      <w:r>
        <w:br/>
      </w:r>
      <w:r>
        <w:rPr>
          <w:rStyle w:val="VerbatimChar"/>
        </w:rPr>
        <w:t xml:space="preserve">    &lt;tr&gt;&lt;td&gt;7&lt;/td&gt;&lt;td&gt;VII&lt;/td&gt;&lt;td&gt;Maule&lt;/td&gt;&lt;td&gt;CL-ML&lt;/td&gt;&lt;td&gt;07&lt;/td&gt;&lt;/tr&gt;</w:t>
      </w:r>
      <w:r>
        <w:br/>
      </w:r>
      <w:r>
        <w:rPr>
          <w:rStyle w:val="VerbatimChar"/>
        </w:rPr>
        <w:t xml:space="preserve">    &lt;tr&gt;&lt;td&gt;8&lt;/td&gt;&lt;td&gt;VIII&lt;/td&gt;&lt;td&gt;Biobío&lt;/td&gt;&lt;td&gt;CL-BI&lt;/td&gt;&lt;td&gt;08&lt;/td&gt;&lt;/tr&gt;</w:t>
      </w:r>
      <w:r>
        <w:br/>
      </w:r>
      <w:r>
        <w:rPr>
          <w:rStyle w:val="VerbatimChar"/>
        </w:rPr>
        <w:t xml:space="preserve">    &lt;tr&gt;&lt;td&gt;9&lt;/td&gt;&lt;td&gt;IX&lt;/td&gt;&lt;td&gt;La Araucanía&lt;/td&gt;&lt;td&gt;CL-AR&lt;/td&gt;&lt;td&gt;09&lt;/td&gt;&lt;/tr&gt;</w:t>
      </w:r>
      <w:r>
        <w:br/>
      </w:r>
      <w:r>
        <w:rPr>
          <w:rStyle w:val="VerbatimChar"/>
        </w:rPr>
        <w:t xml:space="preserve">    &lt;tr&gt;&lt;td&gt;10&lt;/td&gt;&lt;td&gt;X&lt;/td&gt;&lt;td&gt;Los Lagos&lt;/td&gt;&lt;td&gt;CL-LL&lt;/td&gt;&lt;td&gt;10&lt;/td&gt;&lt;/tr&gt;</w:t>
      </w:r>
      <w:r>
        <w:br/>
      </w:r>
      <w:r>
        <w:rPr>
          <w:rStyle w:val="VerbatimChar"/>
        </w:rPr>
        <w:t xml:space="preserve">    &lt;tr&gt;&lt;td&gt;11&lt;/td&gt;&lt;td&gt;XI&lt;/td&gt;&lt;td&gt;Aysén&lt;/td&gt;&lt;td&gt;CL-AI&lt;/td&gt;&lt;td&gt;11&lt;/td&gt;&lt;/tr&gt;</w:t>
      </w:r>
      <w:r>
        <w:br/>
      </w:r>
      <w:r>
        <w:rPr>
          <w:rStyle w:val="VerbatimChar"/>
        </w:rPr>
        <w:t xml:space="preserve">    &lt;tr&gt;&lt;td&gt;12&lt;/td&gt;&lt;td&gt;XII&lt;/td&gt;&lt;td&gt;Magallanes&lt;/td&gt;&lt;td&gt;CL-MA&lt;/td&gt;&lt;td&gt;12&lt;/td&gt;&lt;/tr&gt;</w:t>
      </w:r>
      <w:r>
        <w:br/>
      </w:r>
      <w:r>
        <w:rPr>
          <w:rStyle w:val="VerbatimChar"/>
        </w:rPr>
        <w:t xml:space="preserve">    &lt;tr&gt;&lt;td&gt;13&lt;/td&gt;&lt;td&gt;XIII&lt;/td&gt;&lt;td&gt;Metropolitana&lt;/td&gt;&lt;td&gt;CL-RM&lt;/td&gt;&lt;td&gt;13&lt;/td&gt;&lt;/tr&gt;</w:t>
      </w:r>
      <w:r>
        <w:br/>
      </w:r>
      <w:r>
        <w:rPr>
          <w:rStyle w:val="VerbatimChar"/>
        </w:rPr>
        <w:t xml:space="preserve">    &lt;tr&gt;&lt;td&gt;14&lt;/td&gt;&lt;td&gt;XIV&lt;/td&gt;&lt;td&gt;Los Ríos&lt;/td&gt;&lt;td&gt;CL-LR&lt;/td&gt;&lt;td&gt;14&lt;/td&gt;&lt;/tr&gt;</w:t>
      </w:r>
      <w:r>
        <w:br/>
      </w:r>
      <w:r>
        <w:rPr>
          <w:rStyle w:val="VerbatimChar"/>
        </w:rPr>
        <w:t xml:space="preserve">    &lt;tr&gt;&lt;td&gt;15&lt;/td&gt;&lt;td&gt;XV&lt;/td&gt;&lt;td&gt;Arica y Parinacota&lt;/td&gt;&lt;td&gt;CL-AP&lt;/td&gt;&lt;td&gt;15&lt;/td&gt;&lt;/tr&gt;</w:t>
      </w:r>
      <w:r>
        <w:br/>
      </w:r>
      <w:r>
        <w:rPr>
          <w:rStyle w:val="VerbatimChar"/>
        </w:rPr>
        <w:t xml:space="preserve">    &lt;tr&gt;&lt;td&gt;16&lt;/td&gt;&lt;td&gt;XVI&lt;/td&gt;&lt;td&gt;Ñuble&lt;/td&gt;&lt;td&gt;CL-NB&lt;/td&gt;&lt;td&gt;16&lt;/td&gt;&lt;/tr&gt;</w:t>
      </w:r>
      <w:r>
        <w:br/>
      </w:r>
      <w:r>
        <w:rPr>
          <w:rStyle w:val="VerbatimChar"/>
        </w:rPr>
        <w:t xml:space="preserve">    &lt;tr&gt;&lt;td&gt;99&lt;/td&gt;&lt;td&gt;JNA&lt;/td&gt;&lt;td&gt;Jefatura Nacional&lt;/td&gt;&lt;td&gt;&lt;/td&gt;&lt;td&gt;&lt;/td&gt;&lt;/tr&gt;</w:t>
      </w:r>
      <w:r>
        <w:br/>
      </w:r>
      <w:r>
        <w:rPr>
          <w:rStyle w:val="VerbatimChar"/>
        </w:rPr>
        <w:t xml:space="preserve">    &lt;tr&gt;&lt;td&gt;0&lt;/td&gt;&lt;td&gt;TOTAL&lt;/td&gt;&lt;td&gt;Total Nacional&lt;/td&gt;&lt;td&gt;&lt;/td&gt;&lt;td&gt;&lt;/td&gt;&lt;/tr&gt;</w:t>
      </w:r>
      <w:r>
        <w:br/>
      </w:r>
      <w:r>
        <w:rPr>
          <w:rStyle w:val="VerbatimChar"/>
        </w:rPr>
        <w:t xml:space="preserve">  &lt;/tbody&gt;</w:t>
      </w:r>
      <w:r>
        <w:br/>
      </w:r>
      <w:r>
        <w:rPr>
          <w:rStyle w:val="VerbatimChar"/>
        </w:rPr>
        <w:t xml:space="preserve">&lt;/table&gt;</w:t>
      </w:r>
    </w:p>
    <w:bookmarkEnd w:id="21"/>
    <w:bookmarkStart w:id="22" w:name="qa-y-monitoreo"/>
    <w:p>
      <w:pPr>
        <w:pStyle w:val="Heading2"/>
      </w:pPr>
      <w:r>
        <w:t xml:space="preserve">QA y monitoreo</w:t>
      </w:r>
    </w:p>
    <w:p>
      <w:pPr>
        <w:pStyle w:val="FirstParagraph"/>
      </w:pPr>
      <w:r>
        <w:t xml:space="preserve">Controles disponibles</w:t>
      </w:r>
    </w:p>
    <w:p>
      <w:pPr>
        <w:pStyle w:val="BodyText"/>
      </w:pPr>
      <w:r>
        <w:t xml:space="preserve">Diferencias 1S + 2S vs anual</w:t>
      </w:r>
    </w:p>
    <w:p>
      <w:pPr>
        <w:pStyle w:val="BodyText"/>
      </w:pPr>
      <w:r>
        <w:t xml:space="preserve">Totales regionales vs sumatorias</w:t>
      </w:r>
    </w:p>
    <w:p>
      <w:pPr>
        <w:pStyle w:val="BodyText"/>
      </w:pPr>
      <w:r>
        <w:t xml:space="preserve">Log agregado (util.qa_ine_policiales_results)</w:t>
      </w:r>
    </w:p>
    <w:p>
      <w:pPr>
        <w:pStyle w:val="BodyText"/>
      </w:pPr>
      <w:r>
        <w:t xml:space="preserve">Consulta JSON de QA</w:t>
      </w:r>
    </w:p>
    <w:p>
      <w:pPr>
        <w:pStyle w:val="BodyText"/>
      </w:pPr>
      <w:r>
        <w:t xml:space="preserve">Los jobs de QA se ejecutan después de cada ingesta y clasifican las brechas en</w:t>
      </w:r>
      <w:r>
        <w:t xml:space="preserve"> </w:t>
      </w:r>
      <w:r>
        <w:t xml:space="preserve">justificado</w:t>
      </w:r>
      <w:r>
        <w:t xml:space="preserve">,</w:t>
      </w:r>
      <w:r>
        <w:t xml:space="preserve"> </w:t>
      </w:r>
      <w:r>
        <w:t xml:space="preserve">revisar</w:t>
      </w:r>
      <w:r>
        <w:t xml:space="preserve"> </w:t>
      </w:r>
      <w:r>
        <w:t xml:space="preserve">y</w:t>
      </w:r>
      <w:r>
        <w:t xml:space="preserve"> </w:t>
      </w:r>
      <w:r>
        <w:t xml:space="preserve">corregido</w:t>
      </w:r>
      <w:r>
        <w:t xml:space="preserve">. El dashboard superior refleja el estado más reciente.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 · Estadísticas Policiales</dc:title>
  <dc:creator/>
  <cp:keywords/>
  <dcterms:created xsi:type="dcterms:W3CDTF">2026-01-16T04:01:44Z</dcterms:created>
  <dcterms:modified xsi:type="dcterms:W3CDTF">2026-01-16T04:01:44Z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