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DIPRES — Estadísticas COFOG (GCT/GCP/GCEP)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Series oficiales de clasificación funcional del gasto (COFOG) para el Gobierno Central Total, Gobierno Central Presupuestario y Gobierno Central con Empresas Públicas. Incluye niveles 1-3 y la serie</w:t>
      </w:r>
      <w:r>
        <w:t xml:space="preserve"> </w:t>
      </w:r>
      <w:r>
        <w:t xml:space="preserve">“Funcional”</w:t>
      </w:r>
      <w:r>
        <w:t xml:space="preserve"> </w:t>
      </w:r>
      <w:r>
        <w:t xml:space="preserve">de DIPRES en millones de pesos corrientes. El visor permite alternar entre montos nominales y montos reales deflactados por IPC (base 2023).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dipres_estadisticas_cofog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/api/0.6.9/datasets/dipres_estadisticas_cofog</w:t>
      </w:r>
    </w:p>
    <w:bookmarkEnd w:id="20"/>
    <w:bookmarkStart w:id="23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Serie oficial COFOG — Funciones (1990-2024)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link"/>
          </w:rPr>
          <w:t xml:space="preserve">Serie oficial COFOG — Subfunciones (1990-2024)</w:t>
        </w:r>
      </w:hyperlink>
      <w:r>
        <w:t xml:space="preserve"> </w:t>
      </w:r>
      <w:r>
        <w:t xml:space="preserve">(csv)</w:t>
      </w:r>
    </w:p>
    <w:bookmarkEnd w:id="23"/>
    <w:bookmarkStart w:id="24" w:name="endpoints-de-la-api"/>
    <w:p>
      <w:pPr>
        <w:pStyle w:val="Heading2"/>
      </w:pPr>
      <w:r>
        <w:t xml:space="preserve">Endpoints de la API</w:t>
      </w:r>
    </w:p>
    <w:p>
      <w:pPr>
        <w:pStyle w:val="FirstParagraph"/>
      </w:pPr>
      <w:r>
        <w:t xml:space="preserve">No se han publicado endpoints específicos para este dataset.</w:t>
      </w:r>
    </w:p>
    <w:bookmarkEnd w:id="24"/>
    <w:bookmarkStart w:id="28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3"/>
        </w:numPr>
      </w:pPr>
      <w:hyperlink r:id="rId25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3"/>
        </w:numPr>
      </w:pPr>
      <w:hyperlink r:id="rId26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3"/>
        </w:numPr>
      </w:pPr>
      <w:hyperlink r:id="rId27">
        <w:r>
          <w:rPr>
            <w:rStyle w:val="Hyperlink"/>
          </w:rPr>
          <w:t xml:space="preserve">Documentación API</w:t>
        </w:r>
      </w:hyperlink>
    </w:p>
    <w:bookmarkEnd w:id="28"/>
    <w:bookmarkStart w:id="29" w:name="visualizaciones-destacadas"/>
    <w:p>
      <w:pPr>
        <w:pStyle w:val="Heading2"/>
      </w:pPr>
      <w:r>
        <w:t xml:space="preserve">Visualizaciones destacadas</w:t>
      </w:r>
    </w:p>
    <w:p>
      <w:pPr>
        <w:pStyle w:val="FirstParagraph"/>
      </w:pPr>
      <w:r>
        <w:t xml:space="preserve">Funciones COFOG · Gasto nominal y composición (oficial DIPRES)</w:t>
      </w:r>
    </w:p>
    <w:p>
      <w:pPr>
        <w:pStyle w:val="BodyText"/>
      </w:pPr>
      <w:r>
        <w:t xml:space="preserve">La planilla oficial (</w:t>
      </w:r>
      <w:r>
        <w:t xml:space="preserve">articles-45401_doc_xls_Funcional1.xlsx</w:t>
      </w:r>
      <w:r>
        <w:t xml:space="preserve">) se procesa para obtener montos nominales en billones de pesos y participaciones del gasto total.</w:t>
      </w:r>
      <w:r>
        <w:t xml:space="preserve"> </w:t>
      </w:r>
      <w:r>
        <w:t xml:space="preserve">El gráfico se centra en las cinco funciones con mayor peso en el último año disponible.</w:t>
      </w:r>
    </w:p>
    <w:p>
      <w:pPr>
        <w:pStyle w:val="SourceCode"/>
      </w:pPr>
      <w:r>
        <w:rPr>
          <w:rStyle w:val="VerbatimChar"/>
        </w:rPr>
        <w:t xml:space="preserve">&lt;button type="button" class="button button--ghost is-active" data-mode="nominal"&gt;</w:t>
      </w:r>
      <w:r>
        <w:br/>
      </w:r>
      <w:r>
        <w:rPr>
          <w:rStyle w:val="VerbatimChar"/>
        </w:rPr>
        <w:t xml:space="preserve">  Nominal (billones CLP)</w:t>
      </w:r>
      <w:r>
        <w:br/>
      </w:r>
      <w:r>
        <w:rPr>
          <w:rStyle w:val="VerbatimChar"/>
        </w:rPr>
        <w:t xml:space="preserve">&lt;/button&gt;</w:t>
      </w:r>
      <w:r>
        <w:br/>
      </w:r>
      <w:r>
        <w:rPr>
          <w:rStyle w:val="VerbatimChar"/>
        </w:rPr>
        <w:t xml:space="preserve">&lt;button type="button" class="button button--ghost" data-mode="real"&gt;</w:t>
      </w:r>
      <w:r>
        <w:br/>
      </w:r>
      <w:r>
        <w:rPr>
          <w:rStyle w:val="VerbatimChar"/>
        </w:rPr>
        <w:t xml:space="preserve">  Real (billones CLP)</w:t>
      </w:r>
      <w:r>
        <w:br/>
      </w:r>
      <w:r>
        <w:rPr>
          <w:rStyle w:val="VerbatimChar"/>
        </w:rPr>
        <w:t xml:space="preserve">&lt;/button&gt;</w:t>
      </w:r>
    </w:p>
    <w:p>
      <w:pPr>
        <w:pStyle w:val="SourceCode"/>
      </w:pPr>
      <w:r>
        <w:rPr>
          <w:rStyle w:val="VerbatimChar"/>
        </w:rPr>
        <w:t xml:space="preserve">&lt;p class="series-chart__empty"&gt;Cargando series COFOG…&lt;/p&gt;</w:t>
      </w:r>
    </w:p>
    <w:p>
      <w:pPr>
        <w:pStyle w:val="SourceCode"/>
      </w:pPr>
      <w:r>
        <w:rPr>
          <w:rStyle w:val="VerbatimChar"/>
        </w:rPr>
        <w:t xml:space="preserve">&lt;p class="series-chart__empty"&gt;Cargando participación por función…&lt;/p&gt;</w:t>
      </w:r>
    </w:p>
    <w:bookmarkEnd w:id="29"/>
    <w:bookmarkStart w:id="30" w:name="metodología-resumida"/>
    <w:p>
      <w:pPr>
        <w:pStyle w:val="Heading2"/>
      </w:pPr>
      <w:r>
        <w:t xml:space="preserve">Metodología resumida</w:t>
      </w:r>
    </w:p>
    <w:p>
      <w:pPr>
        <w:pStyle w:val="Compact"/>
        <w:numPr>
          <w:ilvl w:val="0"/>
          <w:numId w:val="1004"/>
        </w:numPr>
      </w:pPr>
      <w:r>
        <w:t xml:space="preserve">Se utilizan las planillas oficiales publicadas por DIPRES en la serie</w:t>
      </w:r>
      <w:r>
        <w:t xml:space="preserve"> </w:t>
      </w:r>
      <w:r>
        <w:t xml:space="preserve">“Clasificación funcional de las erogaciones del Gobierno Central Total”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Los montos se expresan en millones de pesos corrientes y se escalan a billones de pesos para la visualización.</w:t>
      </w:r>
    </w:p>
    <w:p>
      <w:pPr>
        <w:pStyle w:val="Compact"/>
        <w:numPr>
          <w:ilvl w:val="0"/>
          <w:numId w:val="1004"/>
        </w:numPr>
      </w:pPr>
      <w:r>
        <w:t xml:space="preserve">Las participaciones se calculan como porcentaje del total de gasto (código 7) excluyendo dicho agregado de la distribución.</w:t>
      </w:r>
    </w:p>
    <w:p>
      <w:pPr>
        <w:pStyle w:val="Compact"/>
        <w:numPr>
          <w:ilvl w:val="0"/>
          <w:numId w:val="1004"/>
        </w:numPr>
      </w:pPr>
      <w:r>
        <w:t xml:space="preserve">Se deflacta con el IPC anual (base 2023) para disponibilizar montos reales en las descargas.</w:t>
      </w:r>
    </w:p>
    <w:bookmarkEnd w:id="30"/>
    <w:bookmarkStart w:id="31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5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5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5"/>
        </w:numPr>
      </w:pPr>
      <w:r>
        <w:t xml:space="preserve">Integrar controles QA y monitoreo en caso de que el dataset tenga verificaciones automáticas.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../../../api/datasets" TargetMode="External" /><Relationship Type="http://schemas.openxmlformats.org/officeDocument/2006/relationships/hyperlink" Id="rId25" Target="../../../catalogo/dataset.html?slug=dipres_estadisticas_cofog" TargetMode="External" /><Relationship Type="http://schemas.openxmlformats.org/officeDocument/2006/relationships/hyperlink" Id="rId27" Target="../../../docs/api_catalog.html" TargetMode="External" /><Relationship Type="http://schemas.openxmlformats.org/officeDocument/2006/relationships/hyperlink" Id="rId21" Target="../../../downloads/analytics/cofog_funcion_official.csv" TargetMode="External" /><Relationship Type="http://schemas.openxmlformats.org/officeDocument/2006/relationships/hyperlink" Id="rId22" Target="../../../downloads/analytics/cofog_subfuncion_official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../../../api/datasets" TargetMode="External" /><Relationship Type="http://schemas.openxmlformats.org/officeDocument/2006/relationships/hyperlink" Id="rId25" Target="../../../catalogo/dataset.html?slug=dipres_estadisticas_cofog" TargetMode="External" /><Relationship Type="http://schemas.openxmlformats.org/officeDocument/2006/relationships/hyperlink" Id="rId27" Target="../../../docs/api_catalog.html" TargetMode="External" /><Relationship Type="http://schemas.openxmlformats.org/officeDocument/2006/relationships/hyperlink" Id="rId21" Target="../../../downloads/analytics/cofog_funcion_official.csv" TargetMode="External" /><Relationship Type="http://schemas.openxmlformats.org/officeDocument/2006/relationships/hyperlink" Id="rId22" Target="../../../downloads/analytics/cofog_subfuncion_official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DIPRES — Estadísticas COFOG (GCT/GCP/GCEP) · Reporte</dc:title>
  <dc:creator/>
  <cp:keywords/>
  <dcterms:created xsi:type="dcterms:W3CDTF">2026-01-16T03:59:59Z</dcterms:created>
  <dcterms:modified xsi:type="dcterms:W3CDTF">2026-01-16T03:59:59Z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