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iseño-de-esquema-y-pipelines"/>
    <w:p>
      <w:pPr>
        <w:pStyle w:val="Heading1"/>
      </w:pPr>
      <w:r>
        <w:t xml:space="preserve">Diseño de esquema y pipelines</w:t>
      </w:r>
    </w:p>
    <w:bookmarkStart w:id="20" w:name="ubicación"/>
    <w:p>
      <w:pPr>
        <w:pStyle w:val="Heading2"/>
      </w:pPr>
      <w:r>
        <w:t xml:space="preserve">Ubicación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SQL base:</w:t>
      </w:r>
      <w:r>
        <w:t xml:space="preserve"> </w:t>
      </w:r>
      <w:r>
        <w:rPr>
          <w:rStyle w:val="VerbatimChar"/>
        </w:rPr>
        <w:t xml:space="preserve">alembic/versions/</w:t>
      </w:r>
      <w:r>
        <w:t xml:space="preserve"> </w:t>
      </w:r>
      <w:r>
        <w:t xml:space="preserve">(migraciones versionadas).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Plantillas:</w:t>
      </w:r>
      <w:r>
        <w:t xml:space="preserve"> </w:t>
      </w:r>
      <w:r>
        <w:rPr>
          <w:rStyle w:val="VerbatimChar"/>
        </w:rPr>
        <w:t xml:space="preserve">data/meta/schema/template.sql</w:t>
      </w:r>
      <w:r>
        <w:t xml:space="preserve"> </w:t>
      </w:r>
      <w:r>
        <w:t xml:space="preserve">(base para nuevos dominios).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Pipelines Python:</w:t>
      </w:r>
      <w:r>
        <w:t xml:space="preserve"> </w:t>
      </w:r>
      <w:r>
        <w:rPr>
          <w:rStyle w:val="VerbatimChar"/>
        </w:rPr>
        <w:t xml:space="preserve">etl/pipelines/&lt;tema&gt;/&lt;dominio&gt;/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Seeds:</w:t>
      </w:r>
      <w:r>
        <w:t xml:space="preserve"> </w:t>
      </w:r>
      <w:r>
        <w:rPr>
          <w:rStyle w:val="VerbatimChar"/>
        </w:rPr>
        <w:t xml:space="preserve">etl/seeds/</w:t>
      </w:r>
      <w:r>
        <w:t xml:space="preserve"> </w:t>
      </w:r>
      <w:r>
        <w:t xml:space="preserve">(e.g. </w:t>
      </w:r>
      <w:r>
        <w:rPr>
          <w:rStyle w:val="VerbatimChar"/>
        </w:rPr>
        <w:t xml:space="preserve">minimum.py</w:t>
      </w:r>
      <w:r>
        <w:t xml:space="preserve">).</w:t>
      </w:r>
    </w:p>
    <w:bookmarkEnd w:id="20"/>
    <w:bookmarkStart w:id="21" w:name="esquema-actual"/>
    <w:p>
      <w:pPr>
        <w:pStyle w:val="Heading2"/>
      </w:pPr>
      <w:r>
        <w:t xml:space="preserve">Esquema actual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89"/>
        <w:gridCol w:w="2722"/>
        <w:gridCol w:w="290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Tabla</w:t>
            </w:r>
          </w:p>
        </w:tc>
        <w:tc>
          <w:tcPr/>
          <w:p>
            <w:pPr>
              <w:pStyle w:val="Compact"/>
            </w:pPr>
            <w:r>
              <w:t xml:space="preserve">Descripción</w:t>
            </w:r>
          </w:p>
        </w:tc>
        <w:tc>
          <w:tcPr/>
          <w:p>
            <w:pPr>
              <w:pStyle w:val="Compact"/>
            </w:pPr>
            <w:r>
              <w:t xml:space="preserve">Fuente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dim_region</w:t>
            </w:r>
          </w:p>
        </w:tc>
        <w:tc>
          <w:tcPr/>
          <w:p>
            <w:pPr>
              <w:pStyle w:val="Compact"/>
            </w:pPr>
            <w:r>
              <w:t xml:space="preserve">Dimensión regiones de Chile</w:t>
            </w:r>
          </w:p>
        </w:tc>
        <w:tc>
          <w:tcPr/>
          <w:p>
            <w:pPr>
              <w:pStyle w:val="Compact"/>
            </w:pPr>
            <w:r>
              <w:t xml:space="preserve">Seed manual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dim_fecha</w:t>
            </w:r>
          </w:p>
        </w:tc>
        <w:tc>
          <w:tcPr/>
          <w:p>
            <w:pPr>
              <w:pStyle w:val="Compact"/>
            </w:pPr>
            <w:r>
              <w:t xml:space="preserve">Dimensión fecha (2020-2030)</w:t>
            </w:r>
          </w:p>
        </w:tc>
        <w:tc>
          <w:tcPr/>
          <w:p>
            <w:pPr>
              <w:pStyle w:val="Compact"/>
            </w:pPr>
            <w:r>
              <w:t xml:space="preserve">Seed manual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etl_log</w:t>
            </w:r>
          </w:p>
        </w:tc>
        <w:tc>
          <w:tcPr/>
          <w:p>
            <w:pPr>
              <w:pStyle w:val="Compact"/>
            </w:pPr>
            <w:r>
              <w:t xml:space="preserve">Bitácora de ejecuciones de pipelines</w:t>
            </w:r>
          </w:p>
        </w:tc>
        <w:tc>
          <w:tcPr/>
          <w:p>
            <w:pPr>
              <w:pStyle w:val="Compact"/>
            </w:pPr>
            <w:r>
              <w:t xml:space="preserve">Auto-mantenida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presupuestos</w:t>
            </w:r>
          </w:p>
        </w:tc>
        <w:tc>
          <w:tcPr/>
          <w:p>
            <w:pPr>
              <w:pStyle w:val="Compact"/>
            </w:pPr>
            <w:r>
              <w:t xml:space="preserve">Catálogo de archivos DIPRES normalizados</w:t>
            </w:r>
          </w:p>
        </w:tc>
        <w:tc>
          <w:tcPr/>
          <w:p>
            <w:pPr>
              <w:pStyle w:val="Compact"/>
            </w:pPr>
            <w:r>
              <w:t xml:space="preserve">DIPRES (raw → silver)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presupuesto_partidas</w:t>
            </w:r>
          </w:p>
        </w:tc>
        <w:tc>
          <w:tcPr/>
          <w:p>
            <w:pPr>
              <w:pStyle w:val="Compact"/>
            </w:pPr>
            <w:r>
              <w:t xml:space="preserve">Partidas presupuestarias por presupuesto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presupuesto_capitulos</w:t>
            </w:r>
          </w:p>
        </w:tc>
        <w:tc>
          <w:tcPr/>
          <w:p>
            <w:pPr>
              <w:pStyle w:val="Compact"/>
            </w:pPr>
            <w:r>
              <w:t xml:space="preserve">Capítulos asociados a cada partida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presupuesto_partidas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presupuesto_programas</w:t>
            </w:r>
          </w:p>
        </w:tc>
        <w:tc>
          <w:tcPr/>
          <w:p>
            <w:pPr>
              <w:pStyle w:val="Compact"/>
            </w:pPr>
            <w:r>
              <w:t xml:space="preserve">Programas presupuestarios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presupuesto_capitulos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presupuesto_subtitulos</w:t>
            </w:r>
          </w:p>
        </w:tc>
        <w:tc>
          <w:tcPr/>
          <w:p>
            <w:pPr>
              <w:pStyle w:val="Compact"/>
            </w:pPr>
            <w:r>
              <w:t xml:space="preserve">Subtítulos con clasificación por naturaleza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presupuesto_programas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presupuesto_items</w:t>
            </w:r>
          </w:p>
        </w:tc>
        <w:tc>
          <w:tcPr/>
          <w:p>
            <w:pPr>
              <w:pStyle w:val="Compact"/>
            </w:pPr>
            <w:r>
              <w:t xml:space="preserve">Items presupuestarios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presupuesto_subtitulos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presupuesto_asignaciones</w:t>
            </w:r>
          </w:p>
        </w:tc>
        <w:tc>
          <w:tcPr/>
          <w:p>
            <w:pPr>
              <w:pStyle w:val="Compact"/>
            </w:pPr>
            <w:r>
              <w:t xml:space="preserve">Asignaciones específicas (nivel hoja)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presupuesto_items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presupuesto_ejecuciones</w:t>
            </w:r>
          </w:p>
        </w:tc>
        <w:tc>
          <w:tcPr/>
          <w:p>
            <w:pPr>
              <w:pStyle w:val="Compact"/>
            </w:pPr>
            <w:r>
              <w:t xml:space="preserve">Totales agregados por moneda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presupuesto_clasificacion_subtitulo</w:t>
            </w:r>
          </w:p>
        </w:tc>
        <w:tc>
          <w:tcPr/>
          <w:p>
            <w:pPr>
              <w:pStyle w:val="Compact"/>
            </w:pPr>
            <w:r>
              <w:t xml:space="preserve">Glosario de subtítulos (ingresos/gastos)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data/meta/diccionarios/dipres_subtitulos.yaml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meta_datasets</w:t>
            </w:r>
          </w:p>
        </w:tc>
        <w:tc>
          <w:tcPr/>
          <w:p>
            <w:pPr>
              <w:pStyle w:val="Compact"/>
            </w:pPr>
            <w:r>
              <w:t xml:space="preserve">Catálogo maestro de datasets publicados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data/meta/catalog/*.yaml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meta_files</w:t>
            </w:r>
          </w:p>
        </w:tc>
        <w:tc>
          <w:tcPr/>
          <w:p>
            <w:pPr>
              <w:pStyle w:val="Compact"/>
            </w:pPr>
            <w:r>
              <w:t xml:space="preserve">Inventario de archivos raw y hashes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data/meta/dipres_files_metadata.csv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meta_transforms</w:t>
            </w:r>
          </w:p>
        </w:tc>
        <w:tc>
          <w:tcPr/>
          <w:p>
            <w:pPr>
              <w:pStyle w:val="Compact"/>
            </w:pPr>
            <w:r>
              <w:t xml:space="preserve">Transformaciones registradas (pipelines)</w:t>
            </w:r>
          </w:p>
        </w:tc>
        <w:tc>
          <w:tcPr/>
          <w:p>
            <w:pPr>
              <w:pStyle w:val="Compact"/>
            </w:pPr>
            <w:r>
              <w:t xml:space="preserve">ETL (Alembic</w:t>
            </w:r>
            <w:r>
              <w:t xml:space="preserve"> </w:t>
            </w:r>
            <w:r>
              <w:rPr>
                <w:rStyle w:val="VerbatimChar"/>
              </w:rPr>
              <w:t xml:space="preserve">202510090003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meta_tables</w:t>
            </w:r>
          </w:p>
        </w:tc>
        <w:tc>
          <w:tcPr/>
          <w:p>
            <w:pPr>
              <w:pStyle w:val="Compact"/>
            </w:pPr>
            <w:r>
              <w:t xml:space="preserve">Tablas publicadas (schema, layer, tamaño)</w:t>
            </w:r>
          </w:p>
        </w:tc>
        <w:tc>
          <w:tcPr/>
          <w:p>
            <w:pPr>
              <w:pStyle w:val="Compact"/>
            </w:pPr>
            <w:r>
              <w:t xml:space="preserve">ETL (bronze/silver/gold)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meta_columns</w:t>
            </w:r>
          </w:p>
        </w:tc>
        <w:tc>
          <w:tcPr/>
          <w:p>
            <w:pPr>
              <w:pStyle w:val="Compact"/>
            </w:pPr>
            <w:r>
              <w:t xml:space="preserve">Columnas documentadas con metadatos</w:t>
            </w:r>
          </w:p>
        </w:tc>
        <w:tc>
          <w:tcPr/>
          <w:p>
            <w:pPr>
              <w:pStyle w:val="Compact"/>
            </w:pPr>
            <w:r>
              <w:t xml:space="preserve">ETL (</w:t>
            </w:r>
            <w:r>
              <w:rPr>
                <w:rStyle w:val="VerbatimChar"/>
              </w:rPr>
              <w:t xml:space="preserve">meta_tables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meta_lineage</w:t>
            </w:r>
          </w:p>
        </w:tc>
        <w:tc>
          <w:tcPr/>
          <w:p>
            <w:pPr>
              <w:pStyle w:val="Compact"/>
            </w:pPr>
            <w:r>
              <w:t xml:space="preserve">Linaje parent→child con referencia a runs</w:t>
            </w:r>
          </w:p>
        </w:tc>
        <w:tc>
          <w:tcPr/>
          <w:p>
            <w:pPr>
              <w:pStyle w:val="Compact"/>
            </w:pPr>
            <w:r>
              <w:t xml:space="preserve">ETL (</w:t>
            </w:r>
            <w:r>
              <w:rPr>
                <w:rStyle w:val="VerbatimChar"/>
              </w:rPr>
              <w:t xml:space="preserve">meta_transforms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jobs_runs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meta_data_quality</w:t>
            </w:r>
          </w:p>
        </w:tc>
        <w:tc>
          <w:tcPr/>
          <w:p>
            <w:pPr>
              <w:pStyle w:val="Compact"/>
            </w:pPr>
            <w:r>
              <w:t xml:space="preserve">Resultados de checks automáticos por tabla</w:t>
            </w:r>
          </w:p>
        </w:tc>
        <w:tc>
          <w:tcPr/>
          <w:p>
            <w:pPr>
              <w:pStyle w:val="Compact"/>
            </w:pPr>
            <w:r>
              <w:t xml:space="preserve">QA (dbt/SQL,</w:t>
            </w:r>
            <w:r>
              <w:t xml:space="preserve"> </w:t>
            </w:r>
            <w:r>
              <w:rPr>
                <w:rStyle w:val="VerbatimChar"/>
              </w:rPr>
              <w:t xml:space="preserve">jobs_runs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jobs_runs</w:t>
            </w:r>
          </w:p>
        </w:tc>
        <w:tc>
          <w:tcPr/>
          <w:p>
            <w:pPr>
              <w:pStyle w:val="Compact"/>
            </w:pPr>
            <w:r>
              <w:t xml:space="preserve">Ejecuciones de pipelines / tareas</w:t>
            </w:r>
          </w:p>
        </w:tc>
        <w:tc>
          <w:tcPr/>
          <w:p>
            <w:pPr>
              <w:pStyle w:val="Compact"/>
            </w:pPr>
            <w:r>
              <w:t xml:space="preserve">Orquestación/ETL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jobs_integrations</w:t>
            </w:r>
          </w:p>
        </w:tc>
        <w:tc>
          <w:tcPr/>
          <w:p>
            <w:pPr>
              <w:pStyle w:val="Compact"/>
            </w:pPr>
            <w:r>
              <w:t xml:space="preserve">Estado de integraciones externas</w:t>
            </w:r>
          </w:p>
        </w:tc>
        <w:tc>
          <w:tcPr/>
          <w:p>
            <w:pPr>
              <w:pStyle w:val="Compact"/>
            </w:pPr>
            <w:r>
              <w:t xml:space="preserve">Orquestación/ETL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monitor_api_metrics</w:t>
            </w:r>
          </w:p>
        </w:tc>
        <w:tc>
          <w:tcPr/>
          <w:p>
            <w:pPr>
              <w:pStyle w:val="Compact"/>
            </w:pPr>
            <w:r>
              <w:t xml:space="preserve">Historial de métricas HTTP (p50/p95/p99)</w:t>
            </w:r>
          </w:p>
        </w:tc>
        <w:tc>
          <w:tcPr/>
          <w:p>
            <w:pPr>
              <w:pStyle w:val="Compact"/>
            </w:pPr>
            <w:r>
              <w:t xml:space="preserve">Middleware API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monitor_loader_metrics</w:t>
            </w:r>
          </w:p>
        </w:tc>
        <w:tc>
          <w:tcPr/>
          <w:p>
            <w:pPr>
              <w:pStyle w:val="Compact"/>
            </w:pPr>
            <w:r>
              <w:t xml:space="preserve">Métricas de ingestión (bytes, filas, fallos)</w:t>
            </w:r>
          </w:p>
        </w:tc>
        <w:tc>
          <w:tcPr/>
          <w:p>
            <w:pPr>
              <w:pStyle w:val="Compact"/>
            </w:pPr>
            <w:r>
              <w:t xml:space="preserve">Pipelines / monitoreo</w:t>
            </w:r>
          </w:p>
        </w:tc>
      </w:tr>
    </w:tbl>
    <w:bookmarkEnd w:id="21"/>
    <w:bookmarkStart w:id="22" w:name="cómo-agregar-un-nuevo-dominio"/>
    <w:p>
      <w:pPr>
        <w:pStyle w:val="Heading2"/>
      </w:pPr>
      <w:r>
        <w:t xml:space="preserve">Cómo agregar un nuevo dominio</w:t>
      </w:r>
    </w:p>
    <w:p>
      <w:pPr>
        <w:numPr>
          <w:ilvl w:val="0"/>
          <w:numId w:val="1002"/>
        </w:numPr>
      </w:pPr>
      <w:r>
        <w:t xml:space="preserve">Duplicar</w:t>
      </w:r>
      <w:r>
        <w:t xml:space="preserve"> </w:t>
      </w:r>
      <w:r>
        <w:rPr>
          <w:rStyle w:val="VerbatimChar"/>
        </w:rPr>
        <w:t xml:space="preserve">data/meta/schema/template.sql</w:t>
      </w:r>
      <w:r>
        <w:t xml:space="preserve"> </w:t>
      </w:r>
      <w:r>
        <w:t xml:space="preserve">y ajustar nombres.</w:t>
      </w:r>
    </w:p>
    <w:p>
      <w:pPr>
        <w:numPr>
          <w:ilvl w:val="0"/>
          <w:numId w:val="1002"/>
        </w:numPr>
      </w:pPr>
      <w:r>
        <w:t xml:space="preserve">Crear migración Alembic: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.venv/bin/alembic</w:t>
      </w:r>
      <w:r>
        <w:rPr>
          <w:rStyle w:val="NormalTok"/>
        </w:rPr>
        <w:t xml:space="preserve"> revision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"add &lt;dominio&gt;"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--autogenerate</w:t>
      </w:r>
      <w:r>
        <w:br/>
      </w:r>
      <w:r>
        <w:rPr>
          <w:rStyle w:val="ExtensionTok"/>
        </w:rPr>
        <w:t xml:space="preserve">.venv/bin/alembic</w:t>
      </w:r>
      <w:r>
        <w:rPr>
          <w:rStyle w:val="NormalTok"/>
        </w:rPr>
        <w:t xml:space="preserve"> upgrade head</w:t>
      </w:r>
    </w:p>
    <w:p>
      <w:pPr>
        <w:numPr>
          <w:ilvl w:val="0"/>
          <w:numId w:val="1002"/>
        </w:numPr>
      </w:pPr>
      <w:r>
        <w:t xml:space="preserve">Registrar dataset en</w:t>
      </w:r>
      <w:r>
        <w:t xml:space="preserve"> </w:t>
      </w:r>
      <w:r>
        <w:rPr>
          <w:rStyle w:val="VerbatimChar"/>
        </w:rPr>
        <w:t xml:space="preserve">data/meta/catalog/&lt;slug&gt;.yaml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Implementar pipeline en</w:t>
      </w:r>
      <w:r>
        <w:t xml:space="preserve"> </w:t>
      </w:r>
      <w:r>
        <w:rPr>
          <w:rStyle w:val="VerbatimChar"/>
        </w:rPr>
        <w:t xml:space="preserve">etl/pipelines/&lt;tema&gt;/&lt;dominio&gt;/pipeline.py</w:t>
      </w:r>
      <w:r>
        <w:t xml:space="preserve"> </w:t>
      </w:r>
      <w:r>
        <w:t xml:space="preserve">usando</w:t>
      </w:r>
      <w:r>
        <w:t xml:space="preserve"> </w:t>
      </w:r>
      <w:r>
        <w:rPr>
          <w:rStyle w:val="VerbatimChar"/>
        </w:rPr>
        <w:t xml:space="preserve">CSVToTable</w:t>
      </w:r>
      <w:r>
        <w:t xml:space="preserve"> </w:t>
      </w:r>
      <w:r>
        <w:t xml:space="preserve">o heredando</w:t>
      </w:r>
      <w:r>
        <w:t xml:space="preserve"> </w:t>
      </w:r>
      <w:r>
        <w:rPr>
          <w:rStyle w:val="VerbatimChar"/>
        </w:rPr>
        <w:t xml:space="preserve">Pipeline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Añadir pruebas en</w:t>
      </w:r>
      <w:r>
        <w:t xml:space="preserve"> </w:t>
      </w:r>
      <w:r>
        <w:rPr>
          <w:rStyle w:val="VerbatimChar"/>
        </w:rPr>
        <w:t xml:space="preserve">tests/data/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tests/api/</w:t>
      </w:r>
      <w:r>
        <w:t xml:space="preserve">.</w:t>
      </w:r>
    </w:p>
    <w:p>
      <w:pPr>
        <w:numPr>
          <w:ilvl w:val="0"/>
          <w:numId w:val="1002"/>
        </w:numPr>
      </w:pPr>
      <w:r>
        <w:t xml:space="preserve">Documentar en este archivo y en</w:t>
      </w:r>
      <w:r>
        <w:t xml:space="preserve"> </w:t>
      </w:r>
      <w:r>
        <w:rPr>
          <w:rStyle w:val="VerbatimChar"/>
        </w:rPr>
        <w:t xml:space="preserve">api_catalog.md</w:t>
      </w:r>
      <w:r>
        <w:t xml:space="preserve">.</w:t>
      </w:r>
    </w:p>
    <w:bookmarkEnd w:id="22"/>
    <w:bookmarkStart w:id="25" w:name="diagrama-conceptual"/>
    <w:p>
      <w:pPr>
        <w:pStyle w:val="Heading2"/>
      </w:pPr>
      <w:r>
        <w:t xml:space="preserve">Diagrama conceptual</w:t>
      </w:r>
    </w:p>
    <w:p>
      <w:pPr>
        <w:pStyle w:val="SourceCode"/>
      </w:pPr>
      <w:r>
        <w:rPr>
          <w:rStyle w:val="VerbatimChar"/>
        </w:rPr>
        <w:t xml:space="preserve">raw  →  bronze  →  silver  →  gold</w:t>
      </w:r>
      <w:r>
        <w:br/>
      </w:r>
      <w:r>
        <w:rPr>
          <w:rStyle w:val="VerbatimChar"/>
        </w:rPr>
        <w:t xml:space="preserve">          │            │          └─ API / dashboards</w:t>
      </w:r>
      <w:r>
        <w:br/>
      </w:r>
      <w:r>
        <w:rPr>
          <w:rStyle w:val="VerbatimChar"/>
        </w:rPr>
        <w:t xml:space="preserve">          ├─ ref/meta  └─ seeds (dimensiones)</w:t>
      </w:r>
    </w:p>
    <w:p>
      <w:pPr>
        <w:pStyle w:val="FirstParagraph"/>
      </w:pPr>
      <w:r>
        <w:t xml:space="preserve">Cada transición debe registrarse en</w:t>
      </w:r>
      <w:r>
        <w:t xml:space="preserve"> </w:t>
      </w:r>
      <w:r>
        <w:rPr>
          <w:rStyle w:val="VerbatimChar"/>
        </w:rPr>
        <w:t xml:space="preserve">data/meta/lineage/*.yaml</w:t>
      </w:r>
      <w:r>
        <w:t xml:space="preserve"> </w:t>
      </w:r>
      <w:r>
        <w:t xml:space="preserve">para asegurar trazabilidad.</w:t>
      </w:r>
    </w:p>
    <w:bookmarkStart w:id="23" w:name="detalle-presupuestos-dipres-silver"/>
    <w:p>
      <w:pPr>
        <w:pStyle w:val="Heading3"/>
      </w:pPr>
      <w:r>
        <w:t xml:space="preserve">Detalle: Presupuestos DIPRES (silver)</w:t>
      </w:r>
    </w:p>
    <w:p>
      <w:pPr>
        <w:pStyle w:val="Compact"/>
        <w:numPr>
          <w:ilvl w:val="0"/>
          <w:numId w:val="1003"/>
        </w:numPr>
      </w:pPr>
      <w:r>
        <w:t xml:space="preserve">Raw:</w:t>
      </w:r>
      <w:r>
        <w:t xml:space="preserve"> </w:t>
      </w:r>
      <w:r>
        <w:rPr>
          <w:rStyle w:val="VerbatimChar"/>
        </w:rPr>
        <w:t xml:space="preserve">data/raw/dipres/ejecucion_total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data/raw/dipres/proyecto_ley</w:t>
      </w:r>
      <w:r>
        <w:t xml:space="preserve"> </w:t>
      </w:r>
      <w:r>
        <w:t xml:space="preserve">(ignorado en Git).</w:t>
      </w:r>
    </w:p>
    <w:p>
      <w:pPr>
        <w:pStyle w:val="Compact"/>
        <w:numPr>
          <w:ilvl w:val="0"/>
          <w:numId w:val="1003"/>
        </w:numPr>
      </w:pPr>
      <w:r>
        <w:t xml:space="preserve">Manifiesto:</w:t>
      </w:r>
      <w:r>
        <w:t xml:space="preserve"> </w:t>
      </w:r>
      <w:r>
        <w:rPr>
          <w:rStyle w:val="VerbatimChar"/>
        </w:rPr>
        <w:t xml:space="preserve">data/meta/dipres_files_metadata.csv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Tasas de cambio:</w:t>
      </w:r>
      <w:r>
        <w:t xml:space="preserve"> </w:t>
      </w:r>
      <w:r>
        <w:rPr>
          <w:rStyle w:val="VerbatimChar"/>
        </w:rPr>
        <w:t xml:space="preserve">data/ref/dipres_exchange_rates.csv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Diccionario de subtítulos:</w:t>
      </w:r>
      <w:r>
        <w:t xml:space="preserve"> </w:t>
      </w:r>
      <w:r>
        <w:rPr>
          <w:rStyle w:val="VerbatimChar"/>
        </w:rPr>
        <w:t xml:space="preserve">data/meta/diccionarios/dipres_subtitulos.yaml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Código ETL:</w:t>
      </w:r>
      <w:r>
        <w:t xml:space="preserve"> </w:t>
      </w:r>
      <w:r>
        <w:rPr>
          <w:rStyle w:val="VerbatimChar"/>
        </w:rPr>
        <w:t xml:space="preserve">etl/pipelines/dipres_budget.py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DDL de referencia:</w:t>
      </w:r>
      <w:r>
        <w:t xml:space="preserve"> </w:t>
      </w:r>
      <w:r>
        <w:rPr>
          <w:rStyle w:val="VerbatimChar"/>
        </w:rPr>
        <w:t xml:space="preserve">data/meta/schema/dipres_presupuestos.sql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Catálogo:</w:t>
      </w:r>
      <w:r>
        <w:t xml:space="preserve"> </w:t>
      </w:r>
      <w:r>
        <w:rPr>
          <w:rStyle w:val="VerbatimChar"/>
        </w:rPr>
        <w:t xml:space="preserve">data/meta/catalog/dipres_presupuestos.yaml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API:</w:t>
      </w:r>
      <w:r>
        <w:t xml:space="preserve"> </w:t>
      </w:r>
      <w:r>
        <w:rPr>
          <w:rStyle w:val="VerbatimChar"/>
        </w:rPr>
        <w:t xml:space="preserve">/api/{version}/presupuestos/...</w:t>
      </w:r>
      <w:r>
        <w:t xml:space="preserve"> </w:t>
      </w:r>
      <w:r>
        <w:t xml:space="preserve">(ver</w:t>
      </w:r>
      <w:r>
        <w:t xml:space="preserve"> </w:t>
      </w:r>
      <w:r>
        <w:rPr>
          <w:rStyle w:val="VerbatimChar"/>
        </w:rPr>
        <w:t xml:space="preserve">docs/api_catalog.md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Raw API:</w:t>
      </w:r>
      <w:r>
        <w:t xml:space="preserve"> </w:t>
      </w:r>
      <w:r>
        <w:rPr>
          <w:rStyle w:val="VerbatimChar"/>
        </w:rPr>
        <w:t xml:space="preserve">/api/{version}/datasets/{slug}/raw-assets</w:t>
      </w:r>
      <w:r>
        <w:t xml:space="preserve"> </w:t>
      </w:r>
      <w:r>
        <w:t xml:space="preserve">para</w:t>
      </w:r>
      <w:r>
        <w:t xml:space="preserve"> </w:t>
      </w:r>
      <w:r>
        <w:rPr>
          <w:rStyle w:val="VerbatimChar"/>
        </w:rPr>
        <w:t xml:space="preserve">dipres_ejecucion_total</w:t>
      </w:r>
      <w:r>
        <w:t xml:space="preserve">,</w:t>
      </w:r>
      <w:r>
        <w:t xml:space="preserve"> </w:t>
      </w:r>
      <w:r>
        <w:rPr>
          <w:rStyle w:val="VerbatimChar"/>
        </w:rPr>
        <w:t xml:space="preserve">dipres_proyecto_ley</w:t>
      </w:r>
      <w:r>
        <w:t xml:space="preserve">,</w:t>
      </w:r>
      <w:r>
        <w:t xml:space="preserve"> </w:t>
      </w:r>
      <w:r>
        <w:rPr>
          <w:rStyle w:val="VerbatimChar"/>
        </w:rPr>
        <w:t xml:space="preserve">dipres_ley_presupuesto</w:t>
      </w:r>
      <w:r>
        <w:t xml:space="preserve"> </w:t>
      </w:r>
      <w:r>
        <w:t xml:space="preserve">y el agregado</w:t>
      </w:r>
      <w:r>
        <w:t xml:space="preserve"> </w:t>
      </w:r>
      <w:r>
        <w:rPr>
          <w:rStyle w:val="VerbatimChar"/>
        </w:rPr>
        <w:t xml:space="preserve">dipres_presupuestos</w:t>
      </w:r>
      <w:r>
        <w:t xml:space="preserve">.</w:t>
      </w:r>
    </w:p>
    <w:p>
      <w:pPr>
        <w:pStyle w:val="FirstParagraph"/>
      </w:pPr>
      <w:r>
        <w:t xml:space="preserve">Jerarquía resumen:</w:t>
      </w:r>
    </w:p>
    <w:p>
      <w:pPr>
        <w:pStyle w:val="SourceCode"/>
      </w:pPr>
      <w:r>
        <w:rPr>
          <w:rStyle w:val="VerbatimChar"/>
        </w:rPr>
        <w:t xml:space="preserve">Presupuesto (slug)</w:t>
      </w:r>
      <w:r>
        <w:br/>
      </w:r>
      <w:r>
        <w:rPr>
          <w:rStyle w:val="VerbatimChar"/>
        </w:rPr>
        <w:t xml:space="preserve">├─ Partidas (ministerios / órganos superiores)</w:t>
      </w:r>
      <w:r>
        <w:br/>
      </w:r>
      <w:r>
        <w:rPr>
          <w:rStyle w:val="VerbatimChar"/>
        </w:rPr>
        <w:t xml:space="preserve">│  └─ Capítulos (servicios dependientes)</w:t>
      </w:r>
      <w:r>
        <w:br/>
      </w:r>
      <w:r>
        <w:rPr>
          <w:rStyle w:val="VerbatimChar"/>
        </w:rPr>
        <w:t xml:space="preserve">│     └─ Programas (objetivos específicos)</w:t>
      </w:r>
      <w:r>
        <w:br/>
      </w:r>
      <w:r>
        <w:rPr>
          <w:rStyle w:val="VerbatimChar"/>
        </w:rPr>
        <w:t xml:space="preserve">│        └─ Subtítulos (naturaleza del gasto / ingreso)</w:t>
      </w:r>
      <w:r>
        <w:br/>
      </w:r>
      <w:r>
        <w:rPr>
          <w:rStyle w:val="VerbatimChar"/>
        </w:rPr>
        <w:t xml:space="preserve">│           └─ Ítems</w:t>
      </w:r>
      <w:r>
        <w:br/>
      </w:r>
      <w:r>
        <w:rPr>
          <w:rStyle w:val="VerbatimChar"/>
        </w:rPr>
        <w:t xml:space="preserve">│              └─ Asignaciones (nivel hoja)</w:t>
      </w:r>
      <w:r>
        <w:br/>
      </w:r>
      <w:r>
        <w:rPr>
          <w:rStyle w:val="VerbatimChar"/>
        </w:rPr>
        <w:t xml:space="preserve">└─ Totales por moneda, variante y período</w:t>
      </w:r>
    </w:p>
    <w:bookmarkEnd w:id="23"/>
    <w:bookmarkStart w:id="24" w:name="consideraciones-de-modelado"/>
    <w:p>
      <w:pPr>
        <w:pStyle w:val="Heading3"/>
      </w:pPr>
      <w:r>
        <w:t xml:space="preserve">Consideraciones de modelado</w:t>
      </w:r>
    </w:p>
    <w:p>
      <w:pPr>
        <w:pStyle w:val="Compact"/>
        <w:numPr>
          <w:ilvl w:val="0"/>
          <w:numId w:val="1004"/>
        </w:numPr>
      </w:pPr>
      <w:r>
        <w:t xml:space="preserve">Se excluye</w:t>
      </w:r>
      <w:r>
        <w:t xml:space="preserve"> </w:t>
      </w:r>
      <w:r>
        <w:rPr>
          <w:b/>
          <w:bCs/>
        </w:rPr>
        <w:t xml:space="preserve">Partida 50 (Tesoro Público)</w:t>
      </w:r>
      <w:r>
        <w:t xml:space="preserve"> </w:t>
      </w:r>
      <w:r>
        <w:t xml:space="preserve">para evitar doble contabilización de</w:t>
      </w:r>
      <w:r>
        <w:t xml:space="preserve"> </w:t>
      </w:r>
      <w:r>
        <w:t xml:space="preserve">“Ingresos Generales de la Nación”</w:t>
      </w:r>
      <w:r>
        <w:t xml:space="preserve"> </w:t>
      </w:r>
      <w:r>
        <w:t xml:space="preserve">y</w:t>
      </w:r>
      <w:r>
        <w:t xml:space="preserve"> </w:t>
      </w:r>
      <w:r>
        <w:t xml:space="preserve">“Servicio de la Deuda Pública”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Los subtítulos se clasifican en</w:t>
      </w:r>
      <w:r>
        <w:t xml:space="preserve"> </w:t>
      </w:r>
      <w:r>
        <w:rPr>
          <w:rStyle w:val="VerbatimChar"/>
        </w:rPr>
        <w:t xml:space="preserve">ingreso</w:t>
      </w:r>
      <w:r>
        <w:t xml:space="preserve">,</w:t>
      </w:r>
      <w:r>
        <w:t xml:space="preserve"> </w:t>
      </w:r>
      <w:r>
        <w:rPr>
          <w:rStyle w:val="VerbatimChar"/>
        </w:rPr>
        <w:t xml:space="preserve">gasto</w:t>
      </w:r>
      <w:r>
        <w:t xml:space="preserve">,</w:t>
      </w:r>
      <w:r>
        <w:t xml:space="preserve"> </w:t>
      </w:r>
      <w:r>
        <w:rPr>
          <w:rStyle w:val="VerbatimChar"/>
        </w:rPr>
        <w:t xml:space="preserve">mixto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desconocido</w:t>
      </w:r>
      <w:r>
        <w:t xml:space="preserve"> </w:t>
      </w:r>
      <w:r>
        <w:t xml:space="preserve">siguiendo el glosario DIPRES (01–15 ingresos, 21–35 gastos).</w:t>
      </w:r>
    </w:p>
    <w:p>
      <w:pPr>
        <w:pStyle w:val="Compact"/>
        <w:numPr>
          <w:ilvl w:val="0"/>
          <w:numId w:val="1004"/>
        </w:numPr>
      </w:pPr>
      <w:r>
        <w:t xml:space="preserve">Montos procesados son</w:t>
      </w:r>
      <w:r>
        <w:t xml:space="preserve"> </w:t>
      </w:r>
      <w:r>
        <w:rPr>
          <w:b/>
          <w:bCs/>
        </w:rPr>
        <w:t xml:space="preserve">nominales</w:t>
      </w:r>
      <w:r>
        <w:t xml:space="preserve"> </w:t>
      </w:r>
      <w:r>
        <w:t xml:space="preserve">(moneda corriente). Aún no se calculan montos reales/deflactados.</w:t>
      </w:r>
    </w:p>
    <w:p>
      <w:pPr>
        <w:pStyle w:val="Compact"/>
        <w:numPr>
          <w:ilvl w:val="0"/>
          <w:numId w:val="1004"/>
        </w:numPr>
      </w:pPr>
      <w:r>
        <w:t xml:space="preserve">Para ejecuciones históricas sólo se publican acumulados en marzo/junio/septiembre/diciembre; el pipeline normaliza estos trimestres a los meses equivalentes.</w:t>
      </w:r>
    </w:p>
    <w:p>
      <w:pPr>
        <w:pStyle w:val="Compact"/>
        <w:numPr>
          <w:ilvl w:val="0"/>
          <w:numId w:val="1004"/>
        </w:numPr>
      </w:pPr>
      <w:r>
        <w:t xml:space="preserve">Se mantienen las jerarquías para análisis institucional (partida/capítulo/programa) y la clasificación económica (subtítulo/ítem/asignación).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2026-01-16T04:06:25Z</dcterms:created>
  <dcterms:modified xsi:type="dcterms:W3CDTF">2026-01-16T04:06:25Z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