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catálogo-de-datos"/>
    <w:p>
      <w:pPr>
        <w:pStyle w:val="Heading1"/>
      </w:pPr>
      <w:r>
        <w:t xml:space="preserve">Catálogo de datos</w:t>
      </w:r>
    </w:p>
    <w:p>
      <w:pPr>
        <w:pStyle w:val="FirstParagraph"/>
      </w:pPr>
      <w:r>
        <w:t xml:space="preserve">Los datasets expuestos por la API viven en</w:t>
      </w:r>
      <w:r>
        <w:t xml:space="preserve"> </w:t>
      </w:r>
      <w:r>
        <w:rPr>
          <w:rStyle w:val="VerbatimChar"/>
        </w:rPr>
        <w:t xml:space="preserve">data/meta/catalog/</w:t>
      </w:r>
      <w:r>
        <w:t xml:space="preserve"> </w:t>
      </w:r>
      <w:r>
        <w:t xml:space="preserve">(YAML/JSON). Cada archivo define metadatos, orígenes, capas y linaje.</w:t>
      </w:r>
    </w:p>
    <w:bookmarkStart w:id="20" w:name="estructura-base"/>
    <w:p>
      <w:pPr>
        <w:pStyle w:val="Heading2"/>
      </w:pPr>
      <w:r>
        <w:t xml:space="preserve">Estructura base</w:t>
      </w:r>
    </w:p>
    <w:p>
      <w:pPr>
        <w:pStyle w:val="SourceCode"/>
      </w:pPr>
      <w:r>
        <w:rPr>
          <w:rStyle w:val="FunctionTok"/>
        </w:rPr>
        <w:t xml:space="preserve">slug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epdatos</w:t>
      </w:r>
      <w:r>
        <w:br/>
      </w:r>
      <w:r>
        <w:rPr>
          <w:rStyle w:val="FunctionTok"/>
        </w:rPr>
        <w:t xml:space="preserve">nombre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Base de datos transversal</w:t>
      </w:r>
      <w:r>
        <w:br/>
      </w:r>
      <w:r>
        <w:rPr>
          <w:rStyle w:val="FunctionTok"/>
        </w:rPr>
        <w:t xml:space="preserve">descripcion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Text corto...</w:t>
      </w:r>
      <w:r>
        <w:br/>
      </w:r>
      <w:r>
        <w:rPr>
          <w:rStyle w:val="FunctionTok"/>
        </w:rPr>
        <w:t xml:space="preserve">origen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fuente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Espacio Público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url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https://ep.illanes00.cl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periodicidad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mensual</w:t>
      </w:r>
      <w:r>
        <w:br/>
      </w:r>
      <w:r>
        <w:rPr>
          <w:rStyle w:val="FunctionTok"/>
        </w:rPr>
        <w:t xml:space="preserve">capas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raw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archivos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notas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...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bronze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tabla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bronze.pending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transformaciones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silver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tabla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silver.pending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transformaciones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gold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tabla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gold.pending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transformaciones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FunctionTok"/>
        </w:rPr>
        <w:t xml:space="preserve">dominios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slug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geografia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nombre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Geografía y territorio</w:t>
      </w:r>
      <w:r>
        <w:br/>
      </w:r>
      <w:r>
        <w:rPr>
          <w:rStyle w:val="FunctionTok"/>
        </w:rPr>
        <w:t xml:space="preserve">esquema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tablas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nombre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dim_region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campos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nombre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region_id</w:t>
      </w:r>
      <w:r>
        <w:br/>
      </w:r>
      <w:r>
        <w:rPr>
          <w:rStyle w:val="AttributeTok"/>
        </w:rPr>
        <w:t xml:space="preserve">          </w:t>
      </w:r>
      <w:r>
        <w:rPr>
          <w:rStyle w:val="FunctionTok"/>
        </w:rPr>
        <w:t xml:space="preserve">tipo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smallint</w:t>
      </w:r>
      <w:r>
        <w:br/>
      </w:r>
      <w:r>
        <w:rPr>
          <w:rStyle w:val="FunctionTok"/>
        </w:rPr>
        <w:t xml:space="preserve">lineaje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raw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bronze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silver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gold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[]</w:t>
      </w:r>
      <w:r>
        <w:br/>
      </w:r>
      <w:r>
        <w:rPr>
          <w:rStyle w:val="FunctionTok"/>
        </w:rPr>
        <w:t xml:space="preserve">contacto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nombre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Equipo Datos Espacio Público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email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datos@espaciopublico.cl</w:t>
      </w:r>
    </w:p>
    <w:bookmarkEnd w:id="20"/>
    <w:bookmarkStart w:id="21" w:name="convenciones"/>
    <w:p>
      <w:pPr>
        <w:pStyle w:val="Heading2"/>
      </w:pPr>
      <w:r>
        <w:t xml:space="preserve">Convenciones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slug</w:t>
      </w:r>
      <w:r>
        <w:t xml:space="preserve"> </w:t>
      </w:r>
      <w:r>
        <w:t xml:space="preserve">debe coincidir con la ruta API (</w:t>
      </w:r>
      <w:r>
        <w:rPr>
          <w:rStyle w:val="VerbatimChar"/>
        </w:rPr>
        <w:t xml:space="preserve">/datasets/{slug}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dominios</w:t>
      </w:r>
      <w:r>
        <w:t xml:space="preserve"> </w:t>
      </w:r>
      <w:r>
        <w:t xml:space="preserve">agrupa temas y subdominios.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esquema</w:t>
      </w:r>
      <w:r>
        <w:t xml:space="preserve"> </w:t>
      </w:r>
      <w:r>
        <w:t xml:space="preserve">lista tablas y campos publicados (reflejo de Postgres).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lineaje</w:t>
      </w:r>
      <w:r>
        <w:t xml:space="preserve"> </w:t>
      </w:r>
      <w:r>
        <w:t xml:space="preserve">describe transformaciones entre capas raw → gold.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contacto</w:t>
      </w:r>
      <w:r>
        <w:t xml:space="preserve"> </w:t>
      </w:r>
      <w:r>
        <w:t xml:space="preserve">identifica responsable operativo.</w:t>
      </w:r>
    </w:p>
    <w:bookmarkEnd w:id="21"/>
    <w:bookmarkStart w:id="22" w:name="validación"/>
    <w:p>
      <w:pPr>
        <w:pStyle w:val="Heading2"/>
      </w:pPr>
      <w:r>
        <w:t xml:space="preserve">Validación</w:t>
      </w:r>
    </w:p>
    <w:p>
      <w:pPr>
        <w:pStyle w:val="Compact"/>
        <w:numPr>
          <w:ilvl w:val="0"/>
          <w:numId w:val="1002"/>
        </w:numPr>
      </w:pPr>
      <w:r>
        <w:t xml:space="preserve">Añade el archivo YAML y ejecuta</w:t>
      </w:r>
      <w:r>
        <w:t xml:space="preserve"> </w:t>
      </w:r>
      <w:r>
        <w:rPr>
          <w:rStyle w:val="VerbatimChar"/>
        </w:rPr>
        <w:t xml:space="preserve">make lint</w:t>
      </w:r>
      <w:r>
        <w:t xml:space="preserve"> </w:t>
      </w:r>
      <w:r>
        <w:t xml:space="preserve">(valida formato con</w:t>
      </w:r>
      <w:r>
        <w:t xml:space="preserve"> </w:t>
      </w:r>
      <w:r>
        <w:rPr>
          <w:rStyle w:val="VerbatimChar"/>
        </w:rPr>
        <w:t xml:space="preserve">pre-commit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t xml:space="preserve">Revisa la respuesta</w:t>
      </w:r>
      <w:r>
        <w:t xml:space="preserve"> </w:t>
      </w:r>
      <w:r>
        <w:rPr>
          <w:rStyle w:val="VerbatimChar"/>
        </w:rPr>
        <w:t xml:space="preserve">GET /api/0.6.9/datasets/{slug}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Documenta el dataset en</w:t>
      </w:r>
      <w:r>
        <w:t xml:space="preserve"> </w:t>
      </w:r>
      <w:r>
        <w:rPr>
          <w:rStyle w:val="VerbatimChar"/>
        </w:rPr>
        <w:t xml:space="preserve">docs/api_catalog.md</w:t>
      </w:r>
      <w:r>
        <w:t xml:space="preserve"> </w:t>
      </w:r>
      <w:r>
        <w:t xml:space="preserve">si introduce endpoints adicionales.</w:t>
      </w:r>
    </w:p>
    <w:p>
      <w:pPr>
        <w:pStyle w:val="Compact"/>
        <w:numPr>
          <w:ilvl w:val="0"/>
          <w:numId w:val="1002"/>
        </w:numPr>
      </w:pPr>
      <w:r>
        <w:t xml:space="preserve">Para exploración tabular, utiliza</w:t>
      </w:r>
      <w:r>
        <w:t xml:space="preserve"> </w:t>
      </w:r>
      <w:r>
        <w:rPr>
          <w:rStyle w:val="VerbatimChar"/>
        </w:rPr>
        <w:t xml:space="preserve">/api/{version}/data/{schema.table}</w:t>
      </w:r>
      <w:r>
        <w:t xml:space="preserve"> </w:t>
      </w:r>
      <w:r>
        <w:t xml:space="preserve">(filtros, paginación y linaje incluidos).</w:t>
      </w:r>
    </w:p>
    <w:bookmarkEnd w:id="22"/>
    <w:bookmarkStart w:id="23" w:name="instrumentación"/>
    <w:p>
      <w:pPr>
        <w:pStyle w:val="Heading2"/>
      </w:pPr>
      <w:r>
        <w:t xml:space="preserve">Instrumentación</w:t>
      </w:r>
    </w:p>
    <w:p>
      <w:pPr>
        <w:pStyle w:val="Compact"/>
        <w:numPr>
          <w:ilvl w:val="0"/>
          <w:numId w:val="1003"/>
        </w:numPr>
      </w:pPr>
      <w:r>
        <w:t xml:space="preserve">Los catálogos son cacheados por la API (</w:t>
      </w:r>
      <w:r>
        <w:rPr>
          <w:rStyle w:val="VerbatimChar"/>
        </w:rPr>
        <w:t xml:space="preserve">@cached_response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t xml:space="preserve">Métricas se registran en</w:t>
      </w:r>
      <w:r>
        <w:t xml:space="preserve"> </w:t>
      </w:r>
      <w:r>
        <w:rPr>
          <w:rStyle w:val="VerbatimChar"/>
        </w:rPr>
        <w:t xml:space="preserve">/api/0.6.9/status</w:t>
      </w:r>
      <w:r>
        <w:t xml:space="preserve"> </w:t>
      </w:r>
      <w:r>
        <w:t xml:space="preserve">con</w:t>
      </w:r>
      <w:r>
        <w:t xml:space="preserve"> </w:t>
      </w:r>
      <w:r>
        <w:rPr>
          <w:rStyle w:val="VerbatimChar"/>
        </w:rPr>
        <w:t xml:space="preserve">payload_meta.type = dataset</w:t>
      </w:r>
      <w:r>
        <w:t xml:space="preserve">.</w:t>
      </w:r>
    </w:p>
    <w:bookmarkEnd w:id="23"/>
    <w:bookmarkStart w:id="24" w:name="próximos-pasos"/>
    <w:p>
      <w:pPr>
        <w:pStyle w:val="Heading2"/>
      </w:pPr>
      <w:r>
        <w:t xml:space="preserve">Próximos pasos</w:t>
      </w:r>
    </w:p>
    <w:p>
      <w:pPr>
        <w:pStyle w:val="Compact"/>
        <w:numPr>
          <w:ilvl w:val="0"/>
          <w:numId w:val="1004"/>
        </w:numPr>
      </w:pPr>
      <w:r>
        <w:t xml:space="preserve">Incorporar validadores automáticos (pydantic) sobre los YAML.</w:t>
      </w:r>
    </w:p>
    <w:p>
      <w:pPr>
        <w:pStyle w:val="Compact"/>
        <w:numPr>
          <w:ilvl w:val="0"/>
          <w:numId w:val="1004"/>
        </w:numPr>
      </w:pPr>
      <w:r>
        <w:t xml:space="preserve">Sincronizar catálogos con</w:t>
      </w:r>
      <w:r>
        <w:t xml:space="preserve"> </w:t>
      </w:r>
      <w:r>
        <w:rPr>
          <w:rStyle w:val="VerbatimChar"/>
        </w:rPr>
        <w:t xml:space="preserve">data/meta/lineage/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Generar documentación estática a partir de estos metadatos (pages/pdfs).</w:t>
      </w:r>
    </w:p>
    <w:bookmarkEnd w:id="24"/>
    <w:bookmarkStart w:id="26" w:name="dipres-raw"/>
    <w:p>
      <w:pPr>
        <w:pStyle w:val="Heading2"/>
      </w:pPr>
      <w:r>
        <w:t xml:space="preserve">DIPRES (Raw)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data/meta/catalog/dipres_ejecucion_total.yaml</w:t>
      </w:r>
      <w:r>
        <w:t xml:space="preserve">: inventario de Ejecución Total.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data/meta/catalog/dipres_proyecto_ley.yaml</w:t>
      </w:r>
      <w:r>
        <w:t xml:space="preserve">: Proyecto de Ley de Presupuestos (nivel nacional).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data/meta/catalog/dipres_ley_presupuesto.yaml</w:t>
      </w:r>
      <w:r>
        <w:t xml:space="preserve">: Ley vigente (nacional / partidas legacy).</w:t>
      </w:r>
    </w:p>
    <w:p>
      <w:pPr>
        <w:pStyle w:val="Compact"/>
        <w:numPr>
          <w:ilvl w:val="0"/>
          <w:numId w:val="1005"/>
        </w:numPr>
      </w:pPr>
      <w:r>
        <w:t xml:space="preserve">Manifest consolidado:</w:t>
      </w:r>
      <w:r>
        <w:t xml:space="preserve"> </w:t>
      </w:r>
      <w:r>
        <w:rPr>
          <w:rStyle w:val="VerbatimChar"/>
        </w:rPr>
        <w:t xml:space="preserve">data/meta/dipres_files_metadata.csv</w:t>
      </w:r>
      <w:r>
        <w:t xml:space="preserve"> </w:t>
      </w:r>
      <w:r>
        <w:t xml:space="preserve">accesible vía</w:t>
      </w:r>
      <w:r>
        <w:t xml:space="preserve"> </w:t>
      </w:r>
      <w:r>
        <w:rPr>
          <w:rStyle w:val="VerbatimChar"/>
        </w:rPr>
        <w:t xml:space="preserve">/downloads/data/meta/dipres_files_metadata.csv</w:t>
      </w:r>
      <w:r>
        <w:t xml:space="preserve">.</w:t>
      </w:r>
    </w:p>
    <w:p>
      <w:pPr>
        <w:pStyle w:val="Compact"/>
        <w:numPr>
          <w:ilvl w:val="0"/>
          <w:numId w:val="1005"/>
        </w:numPr>
      </w:pPr>
      <w:r>
        <w:t xml:space="preserve">API de descargas:</w:t>
      </w:r>
      <w:r>
        <w:t xml:space="preserve"> </w:t>
      </w:r>
      <w:r>
        <w:rPr>
          <w:rStyle w:val="VerbatimChar"/>
        </w:rPr>
        <w:t xml:space="preserve">/api/{version}/datasets/{slug}/raw-assets</w:t>
      </w:r>
      <w:r>
        <w:t xml:space="preserve"> </w:t>
      </w:r>
      <w:r>
        <w:t xml:space="preserve">desde la landing o vía cliente HTTP.</w:t>
      </w:r>
    </w:p>
    <w:p>
      <w:pPr>
        <w:pStyle w:val="Compact"/>
        <w:numPr>
          <w:ilvl w:val="0"/>
          <w:numId w:val="1005"/>
        </w:numPr>
      </w:pPr>
      <w:r>
        <w:t xml:space="preserve">Ver</w:t>
      </w:r>
      <w:r>
        <w:t xml:space="preserve"> </w:t>
      </w:r>
      <w:hyperlink r:id="rId25">
        <w:r>
          <w:rPr>
            <w:rStyle w:val="Hyperlink"/>
          </w:rPr>
          <w:t xml:space="preserve">dipres_catalog.md</w:t>
        </w:r>
      </w:hyperlink>
      <w:r>
        <w:t xml:space="preserve"> </w:t>
      </w:r>
      <w:r>
        <w:t xml:space="preserve">para el detalle de scraping, cobertura y backlog.</w:t>
      </w:r>
    </w:p>
    <w:p>
      <w:pPr>
        <w:pStyle w:val="Compact"/>
        <w:numPr>
          <w:ilvl w:val="0"/>
          <w:numId w:val="1005"/>
        </w:numPr>
      </w:pPr>
      <w:r>
        <w:t xml:space="preserve">Los archivos fuera de</w:t>
      </w:r>
      <w:r>
        <w:t xml:space="preserve"> </w:t>
      </w:r>
      <w:r>
        <w:rPr>
          <w:rStyle w:val="VerbatimChar"/>
        </w:rPr>
        <w:t xml:space="preserve">data/</w:t>
      </w:r>
      <w:r>
        <w:t xml:space="preserve"> </w:t>
      </w:r>
      <w:r>
        <w:t xml:space="preserve">se replican automáticamente en</w:t>
      </w:r>
      <w:r>
        <w:t xml:space="preserve"> </w:t>
      </w:r>
      <w:r>
        <w:rPr>
          <w:rStyle w:val="VerbatimChar"/>
        </w:rPr>
        <w:t xml:space="preserve">data/cache/raw_assets/</w:t>
      </w:r>
      <w:r>
        <w:t xml:space="preserve"> </w:t>
      </w:r>
      <w:r>
        <w:t xml:space="preserve">para garantizar descargas desde</w:t>
      </w:r>
      <w:r>
        <w:t xml:space="preserve"> </w:t>
      </w:r>
      <w:r>
        <w:rPr>
          <w:rStyle w:val="VerbatimChar"/>
        </w:rPr>
        <w:t xml:space="preserve">/downloads/*</w:t>
      </w:r>
      <w:r>
        <w:t xml:space="preserve">.</w:t>
      </w:r>
    </w:p>
    <w:bookmarkEnd w:id="26"/>
    <w:bookmarkStart w:id="27" w:name="dipres-silver"/>
    <w:p>
      <w:pPr>
        <w:pStyle w:val="Heading2"/>
      </w:pPr>
      <w:r>
        <w:t xml:space="preserve">DIPRES (Silver)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data/meta/catalog/dipres_presupuestos.yaml</w:t>
      </w:r>
      <w:r>
        <w:t xml:space="preserve">: catálogo del presupuesto normalizado.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data/meta/schema/dipres_presupuestos.sql</w:t>
      </w:r>
      <w:r>
        <w:t xml:space="preserve">: definición de tablas (presupuestos, partidas, capítulos, etc.).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data/meta/diccionarios/dipres_subtitulos.yaml</w:t>
      </w:r>
      <w:r>
        <w:t xml:space="preserve">: glosario por subtítulo.</w:t>
      </w:r>
    </w:p>
    <w:p>
      <w:pPr>
        <w:pStyle w:val="Compact"/>
        <w:numPr>
          <w:ilvl w:val="0"/>
          <w:numId w:val="1006"/>
        </w:numPr>
      </w:pPr>
      <w:r>
        <w:t xml:space="preserve">Expuesto vía</w:t>
      </w:r>
      <w:r>
        <w:t xml:space="preserve"> </w:t>
      </w:r>
      <w:r>
        <w:rPr>
          <w:rStyle w:val="VerbatimChar"/>
        </w:rPr>
        <w:t xml:space="preserve">/api/{version}/presupuestos</w:t>
      </w:r>
      <w:r>
        <w:t xml:space="preserve"> </w:t>
      </w:r>
      <w:r>
        <w:t xml:space="preserve">(ver documento de API).</w:t>
      </w:r>
    </w:p>
    <w:bookmarkEnd w:id="27"/>
    <w:bookmarkStart w:id="28" w:name="dipres-referencias-complementarias"/>
    <w:p>
      <w:pPr>
        <w:pStyle w:val="Heading2"/>
      </w:pPr>
      <w:r>
        <w:t xml:space="preserve">DIPRES (Referencias complementarias)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data/meta/catalog/dipres_anexo4.yaml</w:t>
      </w:r>
      <w:r>
        <w:t xml:space="preserve">: catálogo específico del Anexo 4 con visor</w:t>
      </w:r>
      <w:r>
        <w:t xml:space="preserve"> </w:t>
      </w:r>
      <w:r>
        <w:rPr>
          <w:rStyle w:val="VerbatimChar"/>
        </w:rPr>
        <w:t xml:space="preserve">/catalogo/dipres_anexo4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data/ref/dipres/anexo4_classificacion.yaml</w:t>
      </w:r>
      <w:r>
        <w:t xml:space="preserve">: mapeo jerárquico partida → capítulo → programa → subtítulo → ítem → asignación según Anexo 4 del informe DIPRES. Incluye inclusiones y exclusiones documentadas en el PDF.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data/ref/dipres/cuadro_ii_2_reclasificacion.csv</w:t>
      </w:r>
      <w:r>
        <w:t xml:space="preserve">: tabla manualmente estructurada del Cuadro II.2 con la reclasificación de subtítulos y notas de consolidación</w:t>
      </w:r>
      <w:r>
        <w:t xml:space="preserve"> </w:t>
      </w:r>
      <w:r>
        <w:t xml:space="preserve">“bajo la línea”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data/ref/dipres/indicadores_I6.csv</w:t>
      </w:r>
      <w:r>
        <w:t xml:space="preserve">: extracto del apartado I.6 con IPC (base 2023=100), PIB nominal, tipo de cambio promedio y de cierre.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data/meta/catalog/dipres_estadisticas_cofog.yaml</w:t>
      </w:r>
      <w:r>
        <w:t xml:space="preserve">: series COFOG oficiales (Gobierno Central Total, Presupuestario y con Empresas Públicas) y clasificadores funcionales niveles 1-3. Fuente: excels</w:t>
      </w:r>
      <w:r>
        <w:t xml:space="preserve"> </w:t>
      </w:r>
      <w:r>
        <w:rPr>
          <w:rStyle w:val="VerbatimChar"/>
        </w:rPr>
        <w:t xml:space="preserve">GCT/GCP/GCEP/Funcional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data/meta/catalog/dipres_estadisticas_clasificacion.yaml</w:t>
      </w:r>
      <w:r>
        <w:t xml:space="preserve">: clasificación económica del Estado de Operaciones (Gobierno General y Municipal) en pesos corrientes, reales (base 2024) y % del PIB.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data/meta/catalog/dipres_recuadros_art5517.yaml</w:t>
      </w:r>
      <w:r>
        <w:t xml:space="preserve">: recuadros trimestrales del Informe de Finanzas Públicas (series GC, GG y Municipal), disponibles en los excels</w:t>
      </w:r>
      <w:r>
        <w:t xml:space="preserve"> </w:t>
      </w:r>
      <w:r>
        <w:t xml:space="preserve">“Primer/Segundo/Tercer/Cuarto informe”</w:t>
      </w:r>
      <w:r>
        <w:t xml:space="preserve">.</w:t>
      </w:r>
    </w:p>
    <w:p>
      <w:pPr>
        <w:pStyle w:val="Compact"/>
        <w:numPr>
          <w:ilvl w:val="0"/>
          <w:numId w:val="1007"/>
        </w:numPr>
      </w:pPr>
      <w:r>
        <w:t xml:space="preserve">QA adicionales: (i) sumatoria COFOG por año vs. </w:t>
      </w:r>
      <w:r>
        <w:t xml:space="preserve">“Gasto Total”</w:t>
      </w:r>
      <w:r>
        <w:t xml:space="preserve"> </w:t>
      </w:r>
      <w:r>
        <w:t xml:space="preserve">del Excel (&lt;0,1 % de brecha permitida); (ii) clasificación económica corriente vs. real – verificación de deflactor relativo; (iii) % del PIB recalculado contra serie PIB Dipres (recuadro Art. 5517).</w:t>
      </w:r>
    </w:p>
    <w:p>
      <w:pPr>
        <w:pStyle w:val="Compact"/>
        <w:numPr>
          <w:ilvl w:val="0"/>
          <w:numId w:val="1007"/>
        </w:numPr>
      </w:pPr>
      <w:r>
        <w:t xml:space="preserve">QA aplicable:</w:t>
      </w:r>
    </w:p>
    <w:p>
      <w:pPr>
        <w:pStyle w:val="Compact"/>
        <w:numPr>
          <w:ilvl w:val="1"/>
          <w:numId w:val="1008"/>
        </w:numPr>
      </w:pPr>
      <w:r>
        <w:t xml:space="preserve">Anexo 4: validación de unicidad</w:t>
      </w:r>
      <w:r>
        <w:t xml:space="preserve"> </w:t>
      </w:r>
      <w:r>
        <w:rPr>
          <w:rStyle w:val="VerbatimChar"/>
        </w:rPr>
        <w:t xml:space="preserve">{partida,capítulo,programa}</w:t>
      </w:r>
      <w:r>
        <w:t xml:space="preserve"> </w:t>
      </w:r>
      <w:r>
        <w:t xml:space="preserve">y consistencia frente a catálogos internos.</w:t>
      </w:r>
    </w:p>
    <w:p>
      <w:pPr>
        <w:pStyle w:val="Compact"/>
        <w:numPr>
          <w:ilvl w:val="1"/>
          <w:numId w:val="1008"/>
        </w:numPr>
      </w:pPr>
      <w:r>
        <w:t xml:space="preserve">Cuadro II.2: revisión manual (pendiente automatizar parseo directo desde PDF).</w:t>
      </w:r>
    </w:p>
    <w:p>
      <w:pPr>
        <w:pStyle w:val="Compact"/>
        <w:numPr>
          <w:ilvl w:val="1"/>
          <w:numId w:val="1008"/>
        </w:numPr>
      </w:pPr>
      <w:r>
        <w:t xml:space="preserve">Indicadores I.6: comparados contra series BCCh (IPC promedio anual rebased a 2023=100, brecha &lt;0.25 pts).</w:t>
      </w:r>
    </w:p>
    <w:p>
      <w:pPr>
        <w:pStyle w:val="Compact"/>
        <w:numPr>
          <w:ilvl w:val="0"/>
          <w:numId w:val="1007"/>
        </w:numPr>
      </w:pPr>
      <w:r>
        <w:t xml:space="preserve">Visualizadores HTML disponibles en</w:t>
      </w:r>
      <w:r>
        <w:t xml:space="preserve"> </w:t>
      </w:r>
      <w:r>
        <w:rPr>
          <w:rStyle w:val="VerbatimChar"/>
        </w:rPr>
        <w:t xml:space="preserve">/catalogo/&lt;slug&gt;</w:t>
      </w:r>
      <w:r>
        <w:t xml:space="preserve"> </w:t>
      </w:r>
      <w:r>
        <w:t xml:space="preserve">para cualquier dataset registrado. Cada visor expone:</w:t>
      </w:r>
    </w:p>
    <w:p>
      <w:pPr>
        <w:pStyle w:val="Compact"/>
        <w:numPr>
          <w:ilvl w:val="1"/>
          <w:numId w:val="1009"/>
        </w:numPr>
      </w:pPr>
      <w:r>
        <w:t xml:space="preserve">Controles de agregación dinámica (dimensión/métrica) y gráfico interactivo (Chart.js).</w:t>
      </w:r>
    </w:p>
    <w:p>
      <w:pPr>
        <w:pStyle w:val="Compact"/>
        <w:numPr>
          <w:ilvl w:val="1"/>
          <w:numId w:val="1009"/>
        </w:numPr>
      </w:pPr>
      <w:r>
        <w:t xml:space="preserve">Tabla de muestra (primeras 100 filas) con enlace directo a la descarga</w:t>
      </w:r>
      <w:r>
        <w:t xml:space="preserve"> </w:t>
      </w:r>
      <w:r>
        <w:rPr>
          <w:rStyle w:val="VerbatimChar"/>
        </w:rPr>
        <w:t xml:space="preserve">CSV</w:t>
      </w:r>
      <w:r>
        <w:t xml:space="preserve">.</w:t>
      </w:r>
    </w:p>
    <w:p>
      <w:pPr>
        <w:pStyle w:val="Compact"/>
        <w:numPr>
          <w:ilvl w:val="1"/>
          <w:numId w:val="1009"/>
        </w:numPr>
      </w:pPr>
      <w:r>
        <w:t xml:space="preserve">Trazabilidad (</w:t>
      </w:r>
      <w:r>
        <w:rPr>
          <w:rStyle w:val="VerbatimChar"/>
        </w:rPr>
        <w:t xml:space="preserve">lineaje</w:t>
      </w:r>
      <w:r>
        <w:t xml:space="preserve">, inventario raw) y enlaces API permanentes.</w:t>
      </w:r>
    </w:p>
    <w:bookmarkEnd w:id="28"/>
    <w:bookmarkStart w:id="29" w:name="gendarmería-rawbronze"/>
    <w:p>
      <w:pPr>
        <w:pStyle w:val="Heading2"/>
      </w:pPr>
      <w:r>
        <w:t xml:space="preserve">Gendarmería (Raw/Bronze)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data/meta/catalog/gendarmeria_reportes_mensuales.yaml</w:t>
      </w:r>
      <w:r>
        <w:t xml:space="preserve">: catálogo para los reportes mensuales de Gendarmería (subsistemas Cerrado, Abierto y Postpenitenciario), con cobertura 2019-2025 y notas sobre meses faltantes (sept-2023 y mar/abr-2024 según subsistema).</w:t>
      </w:r>
    </w:p>
    <w:p>
      <w:pPr>
        <w:pStyle w:val="Compact"/>
        <w:numPr>
          <w:ilvl w:val="0"/>
          <w:numId w:val="1010"/>
        </w:numPr>
      </w:pPr>
      <w:r>
        <w:t xml:space="preserve">Manifest:</w:t>
      </w:r>
      <w:r>
        <w:t xml:space="preserve"> </w:t>
      </w:r>
      <w:r>
        <w:rPr>
          <w:rStyle w:val="VerbatimChar"/>
        </w:rPr>
        <w:t xml:space="preserve">data/meta/gendarmeria_reportes_mensuales_files_metadata.csv</w:t>
      </w:r>
      <w:r>
        <w:t xml:space="preserve"> </w:t>
      </w:r>
      <w:r>
        <w:t xml:space="preserve">(registro completo de descargas, hash SHA-256, tamaño y URL original). QA mínimo: verificar 404 detectados en la página de origen antes de marcar pendientes.</w:t>
      </w:r>
    </w:p>
    <w:p>
      <w:pPr>
        <w:pStyle w:val="Compact"/>
        <w:numPr>
          <w:ilvl w:val="0"/>
          <w:numId w:val="1010"/>
        </w:numPr>
      </w:pPr>
      <w:r>
        <w:t xml:space="preserve">Diccionarios: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data/meta/diccionarios/gendarmeria_unidades.csv</w:t>
      </w:r>
      <w:r>
        <w:t xml:space="preserve"> </w:t>
      </w:r>
      <w:r>
        <w:t xml:space="preserve">(175 códigos de establecimiento con región asignada).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data/meta/diccionarios/gendarmeria_unidades_alias.csv</w:t>
      </w:r>
      <w:r>
        <w:t xml:space="preserve"> </w:t>
      </w:r>
      <w:r>
        <w:t xml:space="preserve">(cambios de nomenclatura relevantes, por ejemplo</w:t>
      </w:r>
      <w:r>
        <w:t xml:space="preserve"> </w:t>
      </w:r>
      <w:r>
        <w:rPr>
          <w:rStyle w:val="VerbatimChar"/>
        </w:rPr>
        <w:t xml:space="preserve">CPF SAN MIGUEL</w:t>
      </w:r>
      <w:r>
        <w:t xml:space="preserve"> </w:t>
      </w:r>
      <w:r>
        <w:t xml:space="preserve">vs</w:t>
      </w:r>
      <w:r>
        <w:t xml:space="preserve"> </w:t>
      </w:r>
      <w:r>
        <w:rPr>
          <w:rStyle w:val="VerbatimChar"/>
        </w:rPr>
        <w:t xml:space="preserve">CPF Mayor Marisol Estay</w:t>
      </w:r>
      <w:r>
        <w:t xml:space="preserve">).</w:t>
      </w:r>
    </w:p>
    <w:p>
      <w:pPr>
        <w:pStyle w:val="Compact"/>
        <w:numPr>
          <w:ilvl w:val="1"/>
          <w:numId w:val="1011"/>
        </w:numPr>
      </w:pPr>
      <w:r>
        <w:rPr>
          <w:rStyle w:val="VerbatimChar"/>
        </w:rPr>
        <w:t xml:space="preserve">data/meta/diccionarios/gendarmeria_abierto_medidas.csv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gendarmeria_cerrado_pobl_recluida_medidas.csv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gendarmeria_postpenitenciario_medidas.csv</w:t>
      </w:r>
      <w:r>
        <w:t xml:space="preserve"> </w:t>
      </w:r>
      <w:r>
        <w:t xml:space="preserve">para codificar medidas por vista.</w:t>
      </w:r>
    </w:p>
    <w:p>
      <w:pPr>
        <w:pStyle w:val="Compact"/>
        <w:numPr>
          <w:ilvl w:val="0"/>
          <w:numId w:val="1010"/>
        </w:numPr>
      </w:pPr>
      <w:r>
        <w:t xml:space="preserve">Loader:</w:t>
      </w:r>
      <w:r>
        <w:t xml:space="preserve"> </w:t>
      </w:r>
      <w:r>
        <w:rPr>
          <w:rStyle w:val="VerbatimChar"/>
        </w:rPr>
        <w:t xml:space="preserve">etl/pipelines/gendarmeria_reportes/loader.py::GendarmeriaReportLoader</w:t>
      </w:r>
      <w:r>
        <w:t xml:space="preserve"> </w:t>
      </w:r>
      <w:r>
        <w:t xml:space="preserve">genera tres salidas en</w:t>
      </w:r>
      <w:r>
        <w:t xml:space="preserve"> </w:t>
      </w:r>
      <w:r>
        <w:rPr>
          <w:rStyle w:val="VerbatimChar"/>
        </w:rPr>
        <w:t xml:space="preserve">data/bronze/gendarmeria/</w:t>
      </w:r>
      <w:r>
        <w:t xml:space="preserve"> </w:t>
      </w:r>
      <w:r>
        <w:t xml:space="preserve">(</w:t>
      </w:r>
      <w:r>
        <w:rPr>
          <w:rStyle w:val="VerbatimChar"/>
        </w:rPr>
        <w:t xml:space="preserve">gendarmeria_abierto.csv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gendarmeria_cerrado_poblacion.csv</w:t>
      </w:r>
      <w:r>
        <w:t xml:space="preserve">,</w:t>
      </w:r>
      <w:r>
        <w:t xml:space="preserve"> </w:t>
      </w:r>
      <w:r>
        <w:rPr>
          <w:rStyle w:val="VerbatimChar"/>
        </w:rPr>
        <w:t xml:space="preserve">gendarmeria_postpenitenciario.csv</w:t>
      </w:r>
      <w:r>
        <w:t xml:space="preserve">). Cada dataset está normalizado (formato long), con nivel de registro (</w:t>
      </w:r>
      <w:r>
        <w:rPr>
          <w:rStyle w:val="VerbatimChar"/>
        </w:rPr>
        <w:t xml:space="preserve">unidad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total_region</w:t>
      </w:r>
      <w:r>
        <w:t xml:space="preserve">,</w:t>
      </w:r>
      <w:r>
        <w:t xml:space="preserve"> </w:t>
      </w:r>
      <w:r>
        <w:rPr>
          <w:rStyle w:val="VerbatimChar"/>
        </w:rPr>
        <w:t xml:space="preserve">total_nacional</w:t>
      </w:r>
      <w:r>
        <w:t xml:space="preserve">) y metadatos de dimensión añadidos.</w:t>
      </w:r>
    </w:p>
    <w:p>
      <w:pPr>
        <w:pStyle w:val="Compact"/>
        <w:numPr>
          <w:ilvl w:val="0"/>
          <w:numId w:val="1010"/>
        </w:numPr>
      </w:pPr>
      <w:r>
        <w:t xml:space="preserve">Esquema propuesto en</w:t>
      </w:r>
      <w:r>
        <w:t xml:space="preserve"> </w:t>
      </w:r>
      <w:r>
        <w:rPr>
          <w:rStyle w:val="VerbatimChar"/>
        </w:rPr>
        <w:t xml:space="preserve">data/meta/schema/gendarmeria_reportes_mensuales.sql</w:t>
      </w:r>
      <w:r>
        <w:t xml:space="preserve">; pendiente desarrollar modelos silver/gold (dimensiones de unidades, regiones y tipologías delictuales).</w:t>
      </w:r>
    </w:p>
    <w:p>
      <w:pPr>
        <w:pStyle w:val="Compact"/>
        <w:numPr>
          <w:ilvl w:val="0"/>
          <w:numId w:val="1010"/>
        </w:numPr>
      </w:pPr>
      <w:r>
        <w:t xml:space="preserve">Consideraciones QA:</w:t>
      </w:r>
    </w:p>
    <w:p>
      <w:pPr>
        <w:pStyle w:val="Compact"/>
        <w:numPr>
          <w:ilvl w:val="1"/>
          <w:numId w:val="1012"/>
        </w:numPr>
      </w:pPr>
      <w:r>
        <w:t xml:space="preserve">El HTML 2024 repite el vínculo de mayo para</w:t>
      </w:r>
      <w:r>
        <w:t xml:space="preserve"> </w:t>
      </w:r>
      <w:r>
        <w:rPr>
          <w:rStyle w:val="VerbatimChar"/>
        </w:rPr>
        <w:t xml:space="preserve">S.Postpenitenciario</w:t>
      </w:r>
      <w:r>
        <w:t xml:space="preserve"> </w:t>
      </w:r>
      <w:r>
        <w:rPr>
          <w:rStyle w:val="VerbatimChar"/>
        </w:rPr>
        <w:t xml:space="preserve">jun24</w:t>
      </w:r>
      <w:r>
        <w:t xml:space="preserve">; la descarga se omite hasta que la fuente publique el archivo correcto.</w:t>
      </w:r>
    </w:p>
    <w:p>
      <w:pPr>
        <w:pStyle w:val="Compact"/>
        <w:numPr>
          <w:ilvl w:val="1"/>
          <w:numId w:val="1012"/>
        </w:numPr>
      </w:pPr>
      <w:r>
        <w:t xml:space="preserve">En</w:t>
      </w:r>
      <w:r>
        <w:t xml:space="preserve"> </w:t>
      </w:r>
      <w:r>
        <w:rPr>
          <w:rStyle w:val="VerbatimChar"/>
        </w:rPr>
        <w:t xml:space="preserve">S.Cerrado</w:t>
      </w:r>
      <w:r>
        <w:t xml:space="preserve">, las columnas con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indican presencia de unidad por régimen; se registran como</w:t>
      </w:r>
      <w:r>
        <w:t xml:space="preserve"> </w:t>
      </w:r>
      <w:r>
        <w:rPr>
          <w:rStyle w:val="VerbatimChar"/>
        </w:rPr>
        <w:t xml:space="preserve">tipo_valor=flag</w:t>
      </w:r>
      <w:r>
        <w:t xml:space="preserve"> </w:t>
      </w:r>
      <w:r>
        <w:t xml:space="preserve">para diferenciarlas de conteos numéricos.</w:t>
      </w:r>
    </w:p>
    <w:p>
      <w:pPr>
        <w:pStyle w:val="Compact"/>
        <w:numPr>
          <w:ilvl w:val="1"/>
          <w:numId w:val="1012"/>
        </w:numPr>
      </w:pPr>
      <w:r>
        <w:t xml:space="preserve">Revisar periódicamente los enlaces 404 (</w:t>
      </w:r>
      <w:r>
        <w:rPr>
          <w:rStyle w:val="VerbatimChar"/>
        </w:rPr>
        <w:t xml:space="preserve">s.abierto_abr24.xlsx</w:t>
      </w:r>
      <w:r>
        <w:t xml:space="preserve">,</w:t>
      </w:r>
      <w:r>
        <w:t xml:space="preserve"> </w:t>
      </w:r>
      <w:r>
        <w:rPr>
          <w:rStyle w:val="VerbatimChar"/>
        </w:rPr>
        <w:t xml:space="preserve">s.postpenitenciario_mar24.xlsx</w:t>
      </w:r>
      <w:r>
        <w:t xml:space="preserve">, etc.) por si la fuente restituye los archivos.</w:t>
      </w:r>
    </w:p>
    <w:bookmarkEnd w:id="29"/>
    <w:bookmarkStart w:id="30" w:name="enusc-raw"/>
    <w:p>
      <w:pPr>
        <w:pStyle w:val="Heading2"/>
      </w:pPr>
      <w:r>
        <w:t xml:space="preserve">ENUSC (Raw)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data/meta/catalog/enusc.yaml</w:t>
      </w:r>
      <w:r>
        <w:t xml:space="preserve">: catálogo para la Encuesta Nacional Urbana de Seguridad Ciudadana (bases</w:t>
      </w:r>
      <w:r>
        <w:t xml:space="preserve"> </w:t>
      </w:r>
      <w:r>
        <w:rPr>
          <w:rStyle w:val="VerbatimChar"/>
        </w:rPr>
        <w:t xml:space="preserve">.sav</w:t>
      </w:r>
      <w:r>
        <w:t xml:space="preserve">, cuestionarios, manuales e insumos metodológicos).</w:t>
      </w:r>
    </w:p>
    <w:p>
      <w:pPr>
        <w:pStyle w:val="Compact"/>
        <w:numPr>
          <w:ilvl w:val="0"/>
          <w:numId w:val="1013"/>
        </w:numPr>
      </w:pPr>
      <w:r>
        <w:t xml:space="preserve">Manifest:</w:t>
      </w:r>
      <w:r>
        <w:t xml:space="preserve"> </w:t>
      </w:r>
      <w:r>
        <w:rPr>
          <w:rStyle w:val="VerbatimChar"/>
        </w:rPr>
        <w:t xml:space="preserve">data/meta/enusc_files_metadata.csv</w:t>
      </w:r>
      <w:r>
        <w:t xml:space="preserve"> </w:t>
      </w:r>
      <w:r>
        <w:t xml:space="preserve">(hash, tamaño y categoría por recurso).</w:t>
      </w:r>
    </w:p>
    <w:p>
      <w:pPr>
        <w:pStyle w:val="Compact"/>
        <w:numPr>
          <w:ilvl w:val="0"/>
          <w:numId w:val="1013"/>
        </w:numPr>
      </w:pPr>
      <w:r>
        <w:t xml:space="preserve">Cobertura disponible: bases de usuario 2009-2024 (ediciones VI-XXI) y consolidados interanuales 2008-2021 / 2008-2022 / 2008-2024. La base 2008 (edición V) sigue ausente en la fuente pública.</w:t>
      </w:r>
    </w:p>
    <w:p>
      <w:pPr>
        <w:pStyle w:val="Compact"/>
        <w:numPr>
          <w:ilvl w:val="0"/>
          <w:numId w:val="1013"/>
        </w:numPr>
      </w:pPr>
      <w:r>
        <w:t xml:space="preserve">Repositorio raw incluye manuales de usuario, manuales de trabajo de campo, diccionarios de variables y tabulados 2016-2024 (</w:t>
      </w:r>
      <w:r>
        <w:rPr>
          <w:rStyle w:val="VerbatimChar"/>
        </w:rPr>
        <w:t xml:space="preserve">data/raw/enusc/manuales*</w:t>
      </w:r>
      <w:r>
        <w:t xml:space="preserve">,</w:t>
      </w:r>
      <w:r>
        <w:t xml:space="preserve"> </w:t>
      </w:r>
      <w:r>
        <w:rPr>
          <w:rStyle w:val="VerbatimChar"/>
        </w:rPr>
        <w:t xml:space="preserve">diccionarios/</w:t>
      </w:r>
      <w:r>
        <w:t xml:space="preserve">,</w:t>
      </w:r>
      <w:r>
        <w:t xml:space="preserve"> </w:t>
      </w:r>
      <w:r>
        <w:rPr>
          <w:rStyle w:val="VerbatimChar"/>
        </w:rPr>
        <w:t xml:space="preserve">tabulados/</w:t>
      </w:r>
      <w:r>
        <w:t xml:space="preserve">,</w:t>
      </w:r>
      <w:r>
        <w:t xml:space="preserve"> </w:t>
      </w:r>
      <w:r>
        <w:rPr>
          <w:rStyle w:val="VerbatimChar"/>
        </w:rPr>
        <w:t xml:space="preserve">notas/</w:t>
      </w:r>
      <w:r>
        <w:t xml:space="preserve">).</w:t>
      </w:r>
    </w:p>
    <w:p>
      <w:pPr>
        <w:pStyle w:val="Compact"/>
        <w:numPr>
          <w:ilvl w:val="0"/>
          <w:numId w:val="1013"/>
        </w:numPr>
      </w:pPr>
      <w:r>
        <w:t xml:space="preserve">Pendiente definir pipeline bronze con variables homologadas y diccionarios de código (territorial, victimización, factores de riesgo).</w:t>
      </w:r>
    </w:p>
    <w:bookmarkEnd w:id="30"/>
    <w:bookmarkStart w:id="31" w:name="fiscalía-raw-bronze"/>
    <w:p>
      <w:pPr>
        <w:pStyle w:val="Heading2"/>
      </w:pPr>
      <w:r>
        <w:t xml:space="preserve">Fiscalía (Raw → Bronze)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data/meta/catalog/fiscalia_persecucion_penal.yaml</w:t>
      </w:r>
      <w:r>
        <w:t xml:space="preserve">: catálogo para los boletines institucionales, anuarios estadísticos y reportes temáticos publicados por la Fiscalía de Chile sobre persecución penal.</w:t>
      </w:r>
    </w:p>
    <w:p>
      <w:pPr>
        <w:pStyle w:val="Compact"/>
        <w:numPr>
          <w:ilvl w:val="0"/>
          <w:numId w:val="1014"/>
        </w:numPr>
      </w:pPr>
      <w:r>
        <w:t xml:space="preserve">Manifest:</w:t>
      </w:r>
      <w:r>
        <w:t xml:space="preserve"> </w:t>
      </w:r>
      <w:r>
        <w:rPr>
          <w:rStyle w:val="VerbatimChar"/>
        </w:rPr>
        <w:t xml:space="preserve">data/meta/fiscalia_persecucion_penal_files_metadata.csv</w:t>
      </w:r>
      <w:r>
        <w:t xml:space="preserve"> </w:t>
      </w:r>
      <w:r>
        <w:t xml:space="preserve">(103 archivos descargados el 13-oct-2025: 70 PDF, 32 XLS y 1 XLSX con coberturas 2004-2025).</w:t>
      </w:r>
    </w:p>
    <w:p>
      <w:pPr>
        <w:pStyle w:val="Compact"/>
        <w:numPr>
          <w:ilvl w:val="0"/>
          <w:numId w:val="1014"/>
        </w:numPr>
      </w:pPr>
      <w:r>
        <w:t xml:space="preserve">Descargas origen: https://www.fiscaliadechile.cl/persecucion-penal/estadisticas (páginas 0-7 rastreadas con script ad-hoc).</w:t>
      </w:r>
    </w:p>
    <w:p>
      <w:pPr>
        <w:pStyle w:val="Compact"/>
        <w:numPr>
          <w:ilvl w:val="0"/>
          <w:numId w:val="1014"/>
        </w:numPr>
      </w:pPr>
      <w:r>
        <w:t xml:space="preserve">Bronze disponible: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data/bronze/fiscalia_persecucion_penal/fiscalia_metrics.csv</w:t>
      </w:r>
      <w:r>
        <w:t xml:space="preserve">: tabla larga con todas las hojas</w:t>
      </w:r>
      <w:r>
        <w:t xml:space="preserve"> </w:t>
      </w:r>
      <w:r>
        <w:rPr>
          <w:rStyle w:val="VerbatimChar"/>
        </w:rPr>
        <w:t xml:space="preserve">TB*</w:t>
      </w:r>
      <w:r>
        <w:t xml:space="preserve">, medidas (</w:t>
      </w:r>
      <w:r>
        <w:rPr>
          <w:rStyle w:val="VerbatimChar"/>
        </w:rPr>
        <w:t xml:space="preserve">measure_label</w:t>
      </w:r>
      <w:r>
        <w:t xml:space="preserve">,</w:t>
      </w:r>
      <w:r>
        <w:t xml:space="preserve"> </w:t>
      </w:r>
      <w:r>
        <w:rPr>
          <w:rStyle w:val="VerbatimChar"/>
        </w:rPr>
        <w:t xml:space="preserve">measure_slug</w:t>
      </w:r>
      <w:r>
        <w:t xml:space="preserve">) y dimensiones territoriales (</w:t>
      </w:r>
      <w:r>
        <w:rPr>
          <w:rStyle w:val="VerbatimChar"/>
        </w:rPr>
        <w:t xml:space="preserve">region_name</w:t>
      </w:r>
      <w:r>
        <w:t xml:space="preserve">,</w:t>
      </w:r>
      <w:r>
        <w:t xml:space="preserve"> </w:t>
      </w:r>
      <w:r>
        <w:rPr>
          <w:rStyle w:val="VerbatimChar"/>
        </w:rPr>
        <w:t xml:space="preserve">fiscalia_rm</w:t>
      </w:r>
      <w:r>
        <w:t xml:space="preserve">).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data/bronze/fiscalia_persecucion_penal/fiscalia_annual_totals.csv</w:t>
      </w:r>
      <w:r>
        <w:t xml:space="preserve">: totales nacionales (TOTAL / TOTAL NACIONAL) seleccionando el corte más reciente de cada año.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data/bronze/fiscalia_persecucion_penal/fiscalia_region_annual.csv</w:t>
      </w:r>
      <w:r>
        <w:t xml:space="preserve">: series anuales por región (sin duplicar trimestres acumulados).</w:t>
      </w:r>
    </w:p>
    <w:p>
      <w:pPr>
        <w:pStyle w:val="Compact"/>
        <w:numPr>
          <w:ilvl w:val="0"/>
          <w:numId w:val="1014"/>
        </w:numPr>
      </w:pPr>
      <w:r>
        <w:rPr>
          <w:rStyle w:val="VerbatimChar"/>
        </w:rPr>
        <w:t xml:space="preserve">data/bronze/fiscalia_persecucion_penal/fiscalia_rm_annual.csv</w:t>
      </w:r>
      <w:r>
        <w:t xml:space="preserve">: agregados anuales para las cuatro fiscalías de la RM (Centro Norte, Oriente, Occidente, Sur).</w:t>
      </w:r>
    </w:p>
    <w:p>
      <w:pPr>
        <w:pStyle w:val="Compact"/>
        <w:numPr>
          <w:ilvl w:val="0"/>
          <w:numId w:val="1014"/>
        </w:numPr>
      </w:pPr>
      <w:r>
        <w:t xml:space="preserve">Dimensiones territoriales interoperables con</w:t>
      </w:r>
      <w:r>
        <w:t xml:space="preserve"> </w:t>
      </w:r>
      <w:r>
        <w:rPr>
          <w:rStyle w:val="VerbatimChar"/>
        </w:rPr>
        <w:t xml:space="preserve">data/geo_region_provincia_comuna.csv</w:t>
      </w:r>
      <w:r>
        <w:t xml:space="preserve"> </w:t>
      </w:r>
      <w:r>
        <w:t xml:space="preserve">(</w:t>
      </w:r>
      <w:r>
        <w:rPr>
          <w:rStyle w:val="VerbatimChar"/>
        </w:rPr>
        <w:t xml:space="preserve">region_code</w:t>
      </w:r>
      <w:r>
        <w:t xml:space="preserve">,</w:t>
      </w:r>
      <w:r>
        <w:t xml:space="preserve"> </w:t>
      </w:r>
      <w:r>
        <w:rPr>
          <w:rStyle w:val="VerbatimChar"/>
        </w:rPr>
        <w:t xml:space="preserve">region_iso</w:t>
      </w:r>
      <w:r>
        <w:t xml:space="preserve">) y con el catálogo de categorías de delito (</w:t>
      </w:r>
      <w:r>
        <w:rPr>
          <w:rStyle w:val="VerbatimChar"/>
        </w:rPr>
        <w:t xml:space="preserve">data/meta/diccionarios/fiscalia_categoria_delito.csv</w:t>
      </w:r>
      <w:r>
        <w:t xml:space="preserve">).</w:t>
      </w:r>
    </w:p>
    <w:p>
      <w:pPr>
        <w:pStyle w:val="Compact"/>
        <w:numPr>
          <w:ilvl w:val="0"/>
          <w:numId w:val="1014"/>
        </w:numPr>
      </w:pPr>
      <w:r>
        <w:t xml:space="preserve">QA automático (</w:t>
      </w:r>
      <w:r>
        <w:rPr>
          <w:rStyle w:val="VerbatimChar"/>
        </w:rPr>
        <w:t xml:space="preserve">data/meta/fiscalia_persecucion_penal_quality_checks.csv</w:t>
      </w:r>
      <w:r>
        <w:t xml:space="preserve">): controles de sumas regionales, proporciones y subtotales (sin advertencias tras aplicar tolerancias y excluir bloques porcentuales).</w:t>
      </w:r>
    </w:p>
    <w:bookmarkEnd w:id="31"/>
    <w:bookmarkStart w:id="32" w:name="referencias-bcch-ipc-pib"/>
    <w:p>
      <w:pPr>
        <w:pStyle w:val="Heading2"/>
      </w:pPr>
      <w:r>
        <w:t xml:space="preserve">Referencias BCCh (IPC / PIB)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data/meta/catalog/ref_bcch.yaml</w:t>
      </w:r>
      <w:r>
        <w:t xml:space="preserve">: metadatos del paquete de series provenientes del Banco Central de Chile.</w:t>
      </w:r>
    </w:p>
    <w:p>
      <w:pPr>
        <w:pStyle w:val="Compact"/>
        <w:numPr>
          <w:ilvl w:val="0"/>
          <w:numId w:val="1015"/>
        </w:numPr>
      </w:pPr>
      <w:r>
        <w:rPr>
          <w:rStyle w:val="VerbatimChar"/>
        </w:rPr>
        <w:t xml:space="preserve">scripts/fetch_bcch_series.py</w:t>
      </w:r>
      <w:r>
        <w:t xml:space="preserve">: script que consume el servicio SOAP</w:t>
      </w:r>
      <w:r>
        <w:t xml:space="preserve"> </w:t>
      </w:r>
      <w:r>
        <w:rPr>
          <w:rStyle w:val="VerbatimChar"/>
        </w:rPr>
        <w:t xml:space="preserve">GetSeries</w:t>
      </w:r>
      <w:r>
        <w:t xml:space="preserve"> </w:t>
      </w:r>
      <w:r>
        <w:t xml:space="preserve">(SieteWS) usando</w:t>
      </w:r>
      <w:r>
        <w:t xml:space="preserve"> </w:t>
      </w:r>
      <w:r>
        <w:rPr>
          <w:rStyle w:val="VerbatimChar"/>
        </w:rPr>
        <w:t xml:space="preserve">BCCH_USER</w:t>
      </w:r>
      <w:r>
        <w:t xml:space="preserve"> </w:t>
      </w:r>
      <w:r>
        <w:t xml:space="preserve">y</w:t>
      </w:r>
      <w:r>
        <w:t xml:space="preserve"> </w:t>
      </w:r>
      <w:r>
        <w:rPr>
          <w:rStyle w:val="VerbatimChar"/>
        </w:rPr>
        <w:t xml:space="preserve">BCCH_PASS</w:t>
      </w:r>
      <w:r>
        <w:t xml:space="preserve">.</w:t>
      </w:r>
    </w:p>
    <w:p>
      <w:pPr>
        <w:pStyle w:val="Compact"/>
        <w:numPr>
          <w:ilvl w:val="0"/>
          <w:numId w:val="1015"/>
        </w:numPr>
      </w:pPr>
      <w:r>
        <w:t xml:space="preserve">Archivos generados:</w:t>
      </w:r>
    </w:p>
    <w:p>
      <w:pPr>
        <w:pStyle w:val="Compact"/>
        <w:numPr>
          <w:ilvl w:val="1"/>
          <w:numId w:val="1016"/>
        </w:numPr>
      </w:pPr>
      <w:r>
        <w:rPr>
          <w:rStyle w:val="VerbatimChar"/>
        </w:rPr>
        <w:t xml:space="preserve">data/ref/bcch/ipc_mensual.csv</w:t>
      </w:r>
      <w:r>
        <w:t xml:space="preserve">: IPC general histórico (base 2018=100, frecuencia mensual).</w:t>
      </w:r>
    </w:p>
    <w:p>
      <w:pPr>
        <w:pStyle w:val="Compact"/>
        <w:numPr>
          <w:ilvl w:val="1"/>
          <w:numId w:val="1016"/>
        </w:numPr>
      </w:pPr>
      <w:r>
        <w:rPr>
          <w:rStyle w:val="VerbatimChar"/>
        </w:rPr>
        <w:t xml:space="preserve">data/ref/bcch/pib_trimestral_real_2018.csv</w:t>
      </w:r>
      <w:r>
        <w:t xml:space="preserve">: PIB real encadenado (base 2018=100, CLP de 2018, frecuencia trimestral).</w:t>
      </w:r>
    </w:p>
    <w:p>
      <w:pPr>
        <w:pStyle w:val="Compact"/>
        <w:numPr>
          <w:ilvl w:val="0"/>
          <w:numId w:val="1015"/>
        </w:numPr>
      </w:pPr>
      <w:r>
        <w:t xml:space="preserve">Uso esperado:</w:t>
      </w:r>
    </w:p>
    <w:p>
      <w:pPr>
        <w:pStyle w:val="Compact"/>
        <w:numPr>
          <w:ilvl w:val="1"/>
          <w:numId w:val="1017"/>
        </w:numPr>
      </w:pPr>
      <w:r>
        <w:t xml:space="preserve">Deflactar montos nominales antes de calcular variaciones reales.</w:t>
      </w:r>
    </w:p>
    <w:p>
      <w:pPr>
        <w:pStyle w:val="Compact"/>
        <w:numPr>
          <w:ilvl w:val="1"/>
          <w:numId w:val="1017"/>
        </w:numPr>
      </w:pPr>
      <w:r>
        <w:t xml:space="preserve">Obtener porcentajes respecto del PIB para series agregadas (ej. presupuesto / PIB).</w:t>
      </w:r>
    </w:p>
    <w:p>
      <w:pPr>
        <w:pStyle w:val="Compact"/>
        <w:numPr>
          <w:ilvl w:val="0"/>
          <w:numId w:val="1015"/>
        </w:numPr>
      </w:pPr>
      <w:r>
        <w:t xml:space="preserve">Referencias y términos: https://si3.bcentral.cl/estadisticas/Principal1/Web_Services/index_BDE_TC.htm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dipres_catalog.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dipres_catalog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2026-01-16T04:03:10Z</dcterms:created>
  <dcterms:modified xsi:type="dcterms:W3CDTF">2026-01-16T04:03:10Z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toc-title">
    <vt:lpwstr>Table of contents</vt:lpwstr>
  </property>
</Properties>
</file>