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changelog"/>
    <w:p>
      <w:pPr>
        <w:pStyle w:val="Heading1"/>
      </w:pPr>
      <w:r>
        <w:t xml:space="preserve">Changelog</w:t>
      </w:r>
    </w:p>
    <w:bookmarkStart w:id="20" w:name="section"/>
    <w:p>
      <w:pPr>
        <w:pStyle w:val="Heading2"/>
      </w:pPr>
      <w:r>
        <w:t xml:space="preserve">0.6.3 · 2025-10-28</w:t>
      </w:r>
    </w:p>
    <w:p>
      <w:pPr>
        <w:pStyle w:val="Compact"/>
        <w:numPr>
          <w:ilvl w:val="0"/>
          <w:numId w:val="1001"/>
        </w:numPr>
      </w:pPr>
      <w:r>
        <w:t xml:space="preserve">Layout Quarto en modo</w:t>
      </w:r>
      <w:r>
        <w:t xml:space="preserve"> </w:t>
      </w:r>
      <w:r>
        <w:rPr>
          <w:rStyle w:val="VerbatimChar"/>
        </w:rPr>
        <w:t xml:space="preserve">full</w:t>
      </w:r>
      <w:r>
        <w:t xml:space="preserve"> </w:t>
      </w:r>
      <w:r>
        <w:t xml:space="preserve">para todas las páginas y bloque HTML explícito en</w:t>
      </w:r>
      <w:r>
        <w:t xml:space="preserve"> </w:t>
      </w:r>
      <w:r>
        <w:t xml:space="preserve">Workbench que evita que la interfaz quede como texto plano.</w:t>
      </w:r>
    </w:p>
    <w:p>
      <w:pPr>
        <w:pStyle w:val="Compact"/>
        <w:numPr>
          <w:ilvl w:val="0"/>
          <w:numId w:val="1001"/>
        </w:numPr>
      </w:pPr>
      <w:r>
        <w:t xml:space="preserve">pgAdmin expuesto en</w:t>
      </w:r>
      <w:r>
        <w:t xml:space="preserve"> </w:t>
      </w:r>
      <w:r>
        <w:rPr>
          <w:rStyle w:val="VerbatimChar"/>
        </w:rPr>
        <w:t xml:space="preserve">/pgadmin/</w:t>
      </w:r>
      <w:r>
        <w:t xml:space="preserve"> </w:t>
      </w:r>
      <w:r>
        <w:t xml:space="preserve">con login controlado por</w:t>
      </w:r>
      <w:r>
        <w:t xml:space="preserve"> </w:t>
      </w:r>
      <w:r>
        <w:rPr>
          <w:rStyle w:val="VerbatimChar"/>
        </w:rPr>
        <w:t xml:space="preserve">PGADMIN_EMAIL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PGADMIN_PASSWORD</w:t>
      </w:r>
      <w:r>
        <w:t xml:space="preserve">; los GE Data Docs se sirven desde</w:t>
      </w:r>
      <w:r>
        <w:t xml:space="preserve"> </w:t>
      </w:r>
      <w:r>
        <w:rPr>
          <w:rStyle w:val="VerbatimChar"/>
        </w:rPr>
        <w:t xml:space="preserve">/data-docs/</w:t>
      </w:r>
      <w:r>
        <w:t xml:space="preserve"> </w:t>
      </w:r>
      <w:r>
        <w:t xml:space="preserve">cuando se</w:t>
      </w:r>
      <w:r>
        <w:t xml:space="preserve"> </w:t>
      </w:r>
      <w:r>
        <w:t xml:space="preserve">construyen con</w:t>
      </w:r>
      <w:r>
        <w:t xml:space="preserve"> </w:t>
      </w:r>
      <w:r>
        <w:rPr>
          <w:rStyle w:val="VerbatimChar"/>
        </w:rPr>
        <w:t xml:space="preserve">great_expectations --v3-api docs build</w:t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t xml:space="preserve">Catálogo y visor de gráficos apuntan a</w:t>
      </w:r>
      <w:r>
        <w:t xml:space="preserve"> </w:t>
      </w:r>
      <w:r>
        <w:rPr>
          <w:rStyle w:val="VerbatimChar"/>
        </w:rPr>
        <w:t xml:space="preserve">/api/0.6.3</w:t>
      </w:r>
      <w:r>
        <w:t xml:space="preserve">; badges/metadata se basan</w:t>
      </w:r>
      <w:r>
        <w:t xml:space="preserve"> </w:t>
      </w:r>
      <w:r>
        <w:t xml:space="preserve">en los campos normalizados (</w:t>
      </w:r>
      <w:r>
        <w:rPr>
          <w:rStyle w:val="VerbatimChar"/>
        </w:rPr>
        <w:t xml:space="preserve">json_asset</w:t>
      </w:r>
      <w:r>
        <w:t xml:space="preserve">,</w:t>
      </w:r>
      <w:r>
        <w:t xml:space="preserve"> </w:t>
      </w:r>
      <w:r>
        <w:rPr>
          <w:rStyle w:val="VerbatimChar"/>
        </w:rPr>
        <w:t xml:space="preserve">image_asset</w:t>
      </w:r>
      <w:r>
        <w:t xml:space="preserve">).</w:t>
      </w:r>
    </w:p>
    <w:p>
      <w:pPr>
        <w:pStyle w:val="Compact"/>
        <w:numPr>
          <w:ilvl w:val="0"/>
          <w:numId w:val="1001"/>
        </w:numPr>
      </w:pPr>
      <w:r>
        <w:t xml:space="preserve">Documentación, README y requirements actualizados a la versión 0.6.3 con la</w:t>
      </w:r>
      <w:r>
        <w:t xml:space="preserve"> </w:t>
      </w:r>
      <w:r>
        <w:t xml:space="preserve">dependencia</w:t>
      </w:r>
      <w:r>
        <w:t xml:space="preserve"> </w:t>
      </w:r>
      <w:r>
        <w:rPr>
          <w:rStyle w:val="VerbatimChar"/>
        </w:rPr>
        <w:t xml:space="preserve">pgadmin4</w:t>
      </w:r>
      <w:r>
        <w:t xml:space="preserve"> </w:t>
      </w:r>
      <w:r>
        <w:t xml:space="preserve">incluida.</w:t>
      </w:r>
    </w:p>
    <w:bookmarkEnd w:id="20"/>
    <w:bookmarkStart w:id="21" w:name="section-1"/>
    <w:p>
      <w:pPr>
        <w:pStyle w:val="Heading2"/>
      </w:pPr>
      <w:r>
        <w:t xml:space="preserve">0.6.2 · 2025-10-27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Instrumentación ETL:</w:t>
      </w:r>
      <w:r>
        <w:t xml:space="preserve"> </w:t>
      </w:r>
      <w:r>
        <w:t xml:space="preserve">nuevo decorador</w:t>
      </w:r>
      <w:r>
        <w:t xml:space="preserve"> </w:t>
      </w:r>
      <w:r>
        <w:rPr>
          <w:rStyle w:val="VerbatimChar"/>
        </w:rPr>
        <w:t xml:space="preserve">etl.instrumentation.instrument_pipeline</w:t>
      </w:r>
      <w:r>
        <w:t xml:space="preserve"> </w:t>
      </w:r>
      <w:r>
        <w:t xml:space="preserve">registra corridas en</w:t>
      </w:r>
      <w:r>
        <w:t xml:space="preserve"> </w:t>
      </w:r>
      <w:r>
        <w:rPr>
          <w:rStyle w:val="VerbatimChar"/>
        </w:rPr>
        <w:t xml:space="preserve">jobs_runs</w:t>
      </w:r>
      <w:r>
        <w:t xml:space="preserve">, asegura datasets y publica snapshots Workbench.</w:t>
      </w:r>
      <w:r>
        <w:t xml:space="preserve"> </w:t>
      </w:r>
      <w:r>
        <w:t xml:space="preserve">Se aplicó a ENUSC agregada, seguridad integrada (fuentes y gold) y reportes</w:t>
      </w:r>
      <w:r>
        <w:t xml:space="preserve"> </w:t>
      </w:r>
      <w:r>
        <w:t xml:space="preserve">mensuales de Gendarmería.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Visor de gráficos:</w:t>
      </w:r>
      <w:r>
        <w:t xml:space="preserve"> </w:t>
      </w:r>
      <w:r>
        <w:t xml:space="preserve">los pipelines COFOG generan JSON además del PNG;</w:t>
      </w:r>
      <w:r>
        <w:t xml:space="preserve"> </w:t>
      </w:r>
      <w:r>
        <w:rPr>
          <w:rStyle w:val="VerbatimChar"/>
        </w:rPr>
        <w:t xml:space="preserve">analysis/charts/generate_all.py</w:t>
      </w:r>
      <w:r>
        <w:t xml:space="preserve"> </w:t>
      </w:r>
      <w:r>
        <w:t xml:space="preserve">captura</w:t>
      </w:r>
      <w:r>
        <w:t xml:space="preserve"> </w:t>
      </w:r>
      <w:r>
        <w:rPr>
          <w:rStyle w:val="VerbatimChar"/>
        </w:rPr>
        <w:t xml:space="preserve">FileNotFoundError</w:t>
      </w:r>
      <w:r>
        <w:t xml:space="preserve"> </w:t>
      </w:r>
      <w:r>
        <w:t xml:space="preserve">y las tarjetas</w:t>
      </w:r>
      <w:r>
        <w:t xml:space="preserve"> </w:t>
      </w:r>
      <w:r>
        <w:t xml:space="preserve">del visor muestran badges (</w:t>
      </w:r>
      <w:r>
        <w:rPr>
          <w:rStyle w:val="VerbatimChar"/>
        </w:rPr>
        <w:t xml:space="preserve">Interactivo</w:t>
      </w:r>
      <w:r>
        <w:t xml:space="preserve"> </w:t>
      </w:r>
      <w:r>
        <w:t xml:space="preserve">o la extensión de imagen).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API &amp; configuración:</w:t>
      </w:r>
      <w:r>
        <w:t xml:space="preserve"> </w:t>
      </w:r>
      <w:r>
        <w:t xml:space="preserve">atajos</w:t>
      </w:r>
      <w:r>
        <w:t xml:space="preserve"> </w:t>
      </w:r>
      <w:r>
        <w:rPr>
          <w:rStyle w:val="VerbatimChar"/>
        </w:rPr>
        <w:t xml:space="preserve">/api</w:t>
      </w:r>
      <w:r>
        <w:t xml:space="preserve">,</w:t>
      </w:r>
      <w:r>
        <w:t xml:space="preserve"> </w:t>
      </w:r>
      <w:r>
        <w:rPr>
          <w:rStyle w:val="VerbatimChar"/>
        </w:rPr>
        <w:t xml:space="preserve">/api/status</w:t>
      </w:r>
      <w:r>
        <w:t xml:space="preserve">,</w:t>
      </w:r>
      <w:r>
        <w:t xml:space="preserve"> </w:t>
      </w:r>
      <w:r>
        <w:rPr>
          <w:rStyle w:val="VerbatimChar"/>
        </w:rPr>
        <w:t xml:space="preserve">/api/docs</w:t>
      </w:r>
      <w:r>
        <w:t xml:space="preserve">, etc. redirigen</w:t>
      </w:r>
      <w:r>
        <w:t xml:space="preserve"> </w:t>
      </w:r>
      <w:r>
        <w:t xml:space="preserve">al prefijo vigente (</w:t>
      </w:r>
      <w:r>
        <w:rPr>
          <w:rStyle w:val="VerbatimChar"/>
        </w:rPr>
        <w:t xml:space="preserve">/api/0.6.2</w:t>
      </w:r>
      <w:r>
        <w:t xml:space="preserve">) y el bootstrap de Sentry registra un warning</w:t>
      </w:r>
      <w:r>
        <w:t xml:space="preserve"> </w:t>
      </w:r>
      <w:r>
        <w:t xml:space="preserve">cuando la dependencia no está disponible.</w:t>
      </w:r>
      <w:r>
        <w:t xml:space="preserve"> </w:t>
      </w:r>
      <w:r>
        <w:rPr>
          <w:rStyle w:val="VerbatimChar"/>
        </w:rPr>
        <w:t xml:space="preserve">.env.production</w:t>
      </w:r>
      <w:r>
        <w:t xml:space="preserve"> </w:t>
      </w:r>
      <w:r>
        <w:t xml:space="preserve">incorpora variables</w:t>
      </w:r>
      <w:r>
        <w:t xml:space="preserve"> </w:t>
      </w:r>
      <w:r>
        <w:t xml:space="preserve">para exponer PGAdmin en despliegues productivos.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Catálogos &amp; docs:</w:t>
      </w:r>
      <w:r>
        <w:t xml:space="preserve"> </w:t>
      </w:r>
      <w:r>
        <w:t xml:space="preserve">reemplazamos</w:t>
      </w:r>
      <w:r>
        <w:t xml:space="preserve"> </w:t>
      </w:r>
      <w:r>
        <w:rPr>
          <w:rStyle w:val="VerbatimChar"/>
        </w:rPr>
        <w:t xml:space="preserve">/api/0.5.0</w:t>
      </w:r>
      <w:r>
        <w:t xml:space="preserve"> </w:t>
      </w:r>
      <w:r>
        <w:t xml:space="preserve">por</w:t>
      </w:r>
      <w:r>
        <w:t xml:space="preserve"> </w:t>
      </w:r>
      <w:r>
        <w:rPr>
          <w:rStyle w:val="VerbatimChar"/>
        </w:rPr>
        <w:t xml:space="preserve">/api/0.6.2</w:t>
      </w:r>
      <w:r>
        <w:t xml:space="preserve"> </w:t>
      </w:r>
      <w:r>
        <w:t xml:space="preserve">en metadata,</w:t>
      </w:r>
      <w:r>
        <w:t xml:space="preserve"> </w:t>
      </w:r>
      <w:r>
        <w:t xml:space="preserve">documentación, Quarto y frontend;</w:t>
      </w:r>
      <w:r>
        <w:t xml:space="preserve"> </w:t>
      </w:r>
      <w:r>
        <w:rPr>
          <w:rStyle w:val="VerbatimChar"/>
        </w:rPr>
        <w:t xml:space="preserve">VERSION</w:t>
      </w:r>
      <w:r>
        <w:t xml:space="preserve"> </w:t>
      </w:r>
      <w:r>
        <w:t xml:space="preserve">y</w:t>
      </w:r>
      <w:r>
        <w:t xml:space="preserve"> </w:t>
      </w:r>
      <w:r>
        <w:rPr>
          <w:rStyle w:val="VerbatimChar"/>
        </w:rPr>
        <w:t xml:space="preserve">package.json</w:t>
      </w:r>
      <w:r>
        <w:t xml:space="preserve"> </w:t>
      </w:r>
      <w:r>
        <w:t xml:space="preserve">avanzan a</w:t>
      </w:r>
      <w:r>
        <w:t xml:space="preserve"> </w:t>
      </w:r>
      <w:r>
        <w:rPr>
          <w:rStyle w:val="VerbatimChar"/>
        </w:rPr>
        <w:t xml:space="preserve">0.6.2</w:t>
      </w:r>
      <w:r>
        <w:t xml:space="preserve">.</w:t>
      </w:r>
    </w:p>
    <w:bookmarkEnd w:id="21"/>
    <w:bookmarkStart w:id="22" w:name="section-2"/>
    <w:p>
      <w:pPr>
        <w:pStyle w:val="Heading2"/>
      </w:pPr>
      <w:r>
        <w:t xml:space="preserve">0.5.0 · 2025-10-24</w:t>
      </w:r>
    </w:p>
    <w:p>
      <w:pPr>
        <w:pStyle w:val="Compact"/>
        <w:numPr>
          <w:ilvl w:val="0"/>
          <w:numId w:val="1003"/>
        </w:numPr>
      </w:pPr>
      <w:r>
        <w:t xml:space="preserve">Actualizamos el prefijo a</w:t>
      </w:r>
      <w:r>
        <w:t xml:space="preserve"> </w:t>
      </w:r>
      <w:r>
        <w:rPr>
          <w:rStyle w:val="VerbatimChar"/>
        </w:rPr>
        <w:t xml:space="preserve">/api/0.6.2/</w:t>
      </w:r>
      <w:r>
        <w:t xml:space="preserve"> </w:t>
      </w:r>
      <w:r>
        <w:t xml:space="preserve">en catálogos, documentación, frontend y</w:t>
      </w:r>
      <w:r>
        <w:t xml:space="preserve"> </w:t>
      </w:r>
      <w:r>
        <w:t xml:space="preserve">paquetes NPM.</w:t>
      </w:r>
    </w:p>
    <w:p>
      <w:pPr>
        <w:pStyle w:val="Compact"/>
        <w:numPr>
          <w:ilvl w:val="0"/>
          <w:numId w:val="1003"/>
        </w:numPr>
      </w:pPr>
      <w:r>
        <w:t xml:space="preserve">Unificamos los worktrees (</w:t>
      </w:r>
      <w:r>
        <w:rPr>
          <w:rStyle w:val="VerbatimChar"/>
        </w:rPr>
        <w:t xml:space="preserve">prod/</w:t>
      </w:r>
      <w:r>
        <w:t xml:space="preserve">,</w:t>
      </w:r>
      <w:r>
        <w:t xml:space="preserve"> </w:t>
      </w:r>
      <w:r>
        <w:rPr>
          <w:rStyle w:val="VerbatimChar"/>
        </w:rPr>
        <w:t xml:space="preserve">dev/</w:t>
      </w:r>
      <w:r>
        <w:t xml:space="preserve">,</w:t>
      </w:r>
      <w:r>
        <w:t xml:space="preserve"> </w:t>
      </w:r>
      <w:r>
        <w:rPr>
          <w:rStyle w:val="VerbatimChar"/>
        </w:rPr>
        <w:t xml:space="preserve">test</w:t>
      </w:r>
      <w:r>
        <w:t xml:space="preserve">) en</w:t>
      </w:r>
      <w:r>
        <w:t xml:space="preserve"> </w:t>
      </w:r>
      <w:r>
        <w:rPr>
          <w:rStyle w:val="VerbatimChar"/>
        </w:rPr>
        <w:t xml:space="preserve">/srv/projects/illanes00-ep</w:t>
      </w:r>
      <w:r>
        <w:t xml:space="preserve"> </w:t>
      </w:r>
      <w:r>
        <w:t xml:space="preserve">y documentamos el flujo</w:t>
      </w:r>
      <w:r>
        <w:t xml:space="preserve"> </w:t>
      </w:r>
      <w:r>
        <w:rPr>
          <w:rStyle w:val="VerbatimChar"/>
        </w:rPr>
        <w:t xml:space="preserve">main</w:t>
      </w:r>
      <w:r>
        <w:t xml:space="preserve"> </w:t>
      </w:r>
      <w:r>
        <w:t xml:space="preserve">↔︎</w:t>
      </w:r>
      <w:r>
        <w:t xml:space="preserve"> </w:t>
      </w:r>
      <w:r>
        <w:rPr>
          <w:rStyle w:val="VerbatimChar"/>
        </w:rPr>
        <w:t xml:space="preserve">development</w:t>
      </w:r>
      <w:r>
        <w:t xml:space="preserve"> </w:t>
      </w:r>
      <w:r>
        <w:t xml:space="preserve">↔︎</w:t>
      </w:r>
      <w:r>
        <w:t xml:space="preserve"> </w:t>
      </w:r>
      <w:r>
        <w:rPr>
          <w:rStyle w:val="VerbatimChar"/>
        </w:rPr>
        <w:t xml:space="preserve">test</w:t>
      </w:r>
      <w:r>
        <w:t xml:space="preserve"> </w:t>
      </w:r>
      <w:r>
        <w:t xml:space="preserve">con despliegue GitHub Actions.</w:t>
      </w:r>
    </w:p>
    <w:p>
      <w:pPr>
        <w:pStyle w:val="Compact"/>
        <w:numPr>
          <w:ilvl w:val="0"/>
          <w:numId w:val="1003"/>
        </w:numPr>
      </w:pPr>
      <w:r>
        <w:t xml:space="preserve">Migraciones Alembic aplicadas en producción y ambientes auxiliares (</w:t>
      </w:r>
      <w:r>
        <w:rPr>
          <w:rStyle w:val="VerbatimChar"/>
        </w:rPr>
        <w:t xml:space="preserve">202510220001</w:t>
      </w:r>
      <w:r>
        <w:t xml:space="preserve">)</w:t>
      </w:r>
      <w:r>
        <w:t xml:space="preserve"> </w:t>
      </w:r>
      <w:r>
        <w:t xml:space="preserve">más seeds mínimas para dejar</w:t>
      </w:r>
      <w:r>
        <w:t xml:space="preserve"> </w:t>
      </w:r>
      <w:r>
        <w:rPr>
          <w:rStyle w:val="VerbatimChar"/>
        </w:rPr>
        <w:t xml:space="preserve">epdatos</w:t>
      </w:r>
      <w:r>
        <w:t xml:space="preserve">,</w:t>
      </w:r>
      <w:r>
        <w:t xml:space="preserve"> </w:t>
      </w:r>
      <w:r>
        <w:rPr>
          <w:rStyle w:val="VerbatimChar"/>
        </w:rPr>
        <w:t xml:space="preserve">epdatos_dev</w:t>
      </w:r>
      <w:r>
        <w:t xml:space="preserve"> </w:t>
      </w:r>
      <w:r>
        <w:t xml:space="preserve">y</w:t>
      </w:r>
      <w:r>
        <w:t xml:space="preserve"> </w:t>
      </w:r>
      <w:r>
        <w:rPr>
          <w:rStyle w:val="VerbatimChar"/>
        </w:rPr>
        <w:t xml:space="preserve">epdatos_test</w:t>
      </w:r>
      <w:r>
        <w:t xml:space="preserve"> </w:t>
      </w:r>
      <w:r>
        <w:t xml:space="preserve">alineadas.</w:t>
      </w:r>
    </w:p>
    <w:bookmarkEnd w:id="22"/>
    <w:bookmarkStart w:id="23" w:name="section-3"/>
    <w:p>
      <w:pPr>
        <w:pStyle w:val="Heading2"/>
      </w:pPr>
      <w:r>
        <w:t xml:space="preserve">0.4.1 · 2025-10-18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Gendarmería end-to-end</w:t>
      </w:r>
      <w:r>
        <w:t xml:space="preserve">: catálogo propio (</w:t>
      </w:r>
      <w:r>
        <w:rPr>
          <w:rStyle w:val="VerbatimChar"/>
        </w:rPr>
        <w:t xml:space="preserve">data/meta/catalog/gendarmeria_reportes_mensuales.yaml</w:t>
      </w:r>
      <w:r>
        <w:t xml:space="preserve">), diccionarios de unidades/medidas y pipelines bronze→silver→gold (</w:t>
      </w:r>
      <w:r>
        <w:rPr>
          <w:rStyle w:val="VerbatimChar"/>
        </w:rPr>
        <w:t xml:space="preserve">etl/pipelines/gendarmeria_*</w:t>
      </w:r>
      <w:r>
        <w:t xml:space="preserve">). Se agregaron seeds (</w:t>
      </w:r>
      <w:r>
        <w:rPr>
          <w:rStyle w:val="VerbatimChar"/>
        </w:rPr>
        <w:t xml:space="preserve">etl/seeds/minimum.py</w:t>
      </w:r>
      <w:r>
        <w:t xml:space="preserve">), pruebas de regresión (</w:t>
      </w:r>
      <w:r>
        <w:rPr>
          <w:rStyle w:val="VerbatimChar"/>
        </w:rPr>
        <w:t xml:space="preserve">tests/data/test_gendarmeria_catalog_bundle.py</w:t>
      </w:r>
      <w:r>
        <w:t xml:space="preserve">) y documentación dedicada (</w:t>
      </w:r>
      <w:r>
        <w:rPr>
          <w:rStyle w:val="VerbatimChar"/>
        </w:rPr>
        <w:t xml:space="preserve">docs/gendarmeria_catalog.md</w:t>
      </w:r>
      <w:r>
        <w:t xml:space="preserve">).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Refactor COFOG + jerarquías DIPRES</w:t>
      </w:r>
      <w:r>
        <w:t xml:space="preserve">:</w:t>
      </w:r>
      <w:r>
        <w:t xml:space="preserve"> </w:t>
      </w:r>
      <w:r>
        <w:rPr>
          <w:rStyle w:val="VerbatimChar"/>
        </w:rPr>
        <w:t xml:space="preserve">scripts/build_cofog_series.py</w:t>
      </w:r>
      <w:r>
        <w:t xml:space="preserve"> </w:t>
      </w:r>
      <w:r>
        <w:t xml:space="preserve">y</w:t>
      </w:r>
      <w:r>
        <w:t xml:space="preserve"> </w:t>
      </w:r>
      <w:r>
        <w:rPr>
          <w:rStyle w:val="VerbatimChar"/>
        </w:rPr>
        <w:t xml:space="preserve">etl/pipelines/dipres_cofog.py</w:t>
      </w:r>
      <w:r>
        <w:t xml:space="preserve"> </w:t>
      </w:r>
      <w:r>
        <w:t xml:space="preserve">ahora reutilizan el manifiesto normalizado, quitan</w:t>
      </w:r>
      <w:r>
        <w:t xml:space="preserve"> </w:t>
      </w:r>
      <w:r>
        <w:t xml:space="preserve">“dummy rows”</w:t>
      </w:r>
      <w:r>
        <w:t xml:space="preserve"> </w:t>
      </w:r>
      <w:r>
        <w:t xml:space="preserve">y entregan rutas programa→subtítulo en pesos. Se publicó el mapeo en</w:t>
      </w:r>
      <w:r>
        <w:t xml:space="preserve"> </w:t>
      </w:r>
      <w:r>
        <w:rPr>
          <w:rStyle w:val="VerbatimChar"/>
        </w:rPr>
        <w:t xml:space="preserve">data/meta/diccionarios/dipres_cofog_programas.csv</w:t>
      </w:r>
      <w:r>
        <w:t xml:space="preserve">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APIs y web modular</w:t>
      </w:r>
      <w:r>
        <w:t xml:space="preserve">: los blueprints se movieron a</w:t>
      </w:r>
      <w:r>
        <w:t xml:space="preserve"> </w:t>
      </w:r>
      <w:r>
        <w:rPr>
          <w:rStyle w:val="VerbatimChar"/>
        </w:rPr>
        <w:t xml:space="preserve">web/routes/</w:t>
      </w:r>
      <w:r>
        <w:t xml:space="preserve">, la navegación persistente vive en</w:t>
      </w:r>
      <w:r>
        <w:t xml:space="preserve"> </w:t>
      </w:r>
      <w:r>
        <w:rPr>
          <w:rStyle w:val="VerbatimChar"/>
        </w:rPr>
        <w:t xml:space="preserve">web/navigation.py</w:t>
      </w:r>
      <w:r>
        <w:t xml:space="preserve"> </w:t>
      </w:r>
      <w:r>
        <w:t xml:space="preserve">y los componentes TS/JS quedaron divididos por responsabilidad (</w:t>
      </w:r>
      <w:r>
        <w:rPr>
          <w:rStyle w:val="VerbatimChar"/>
        </w:rPr>
        <w:t xml:space="preserve">web/static/ts/components/**</w:t>
      </w:r>
      <w:r>
        <w:t xml:space="preserve">). La API se reorganizó (nuevos servicios en</w:t>
      </w:r>
      <w:r>
        <w:t xml:space="preserve"> </w:t>
      </w:r>
      <w:r>
        <w:rPr>
          <w:rStyle w:val="VerbatimChar"/>
        </w:rPr>
        <w:t xml:space="preserve">api/services/</w:t>
      </w:r>
      <w:r>
        <w:t xml:space="preserve">, rutas</w:t>
      </w:r>
      <w:r>
        <w:t xml:space="preserve"> </w:t>
      </w:r>
      <w:r>
        <w:rPr>
          <w:rStyle w:val="VerbatimChar"/>
        </w:rPr>
        <w:t xml:space="preserve">api/routes/data.py</w:t>
      </w:r>
      <w:r>
        <w:t xml:space="preserve">) con cobertura de pruebas (</w:t>
      </w:r>
      <w:r>
        <w:rPr>
          <w:rStyle w:val="VerbatimChar"/>
        </w:rPr>
        <w:t xml:space="preserve">tests/api/test_data_endpoint.py</w:t>
      </w:r>
      <w:r>
        <w:t xml:space="preserve">).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Monitoreo y metadatos</w:t>
      </w:r>
      <w:r>
        <w:t xml:space="preserve">: migraciones Alembic</w:t>
      </w:r>
      <w:r>
        <w:t xml:space="preserve"> </w:t>
      </w:r>
      <w:r>
        <w:rPr>
          <w:rStyle w:val="VerbatimChar"/>
        </w:rPr>
        <w:t xml:space="preserve">202510090003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202510090004</w:t>
      </w:r>
      <w:r>
        <w:t xml:space="preserve"> </w:t>
      </w:r>
      <w:r>
        <w:t xml:space="preserve">generaron esquemas</w:t>
      </w:r>
      <w:r>
        <w:t xml:space="preserve"> </w:t>
      </w:r>
      <w:r>
        <w:rPr>
          <w:rStyle w:val="VerbatimChar"/>
        </w:rPr>
        <w:t xml:space="preserve">meta_*</w:t>
      </w:r>
      <w:r>
        <w:t xml:space="preserve">,</w:t>
      </w:r>
      <w:r>
        <w:t xml:space="preserve"> </w:t>
      </w:r>
      <w:r>
        <w:rPr>
          <w:rStyle w:val="VerbatimChar"/>
        </w:rPr>
        <w:t xml:space="preserve">jobs_*</w:t>
      </w:r>
      <w:r>
        <w:t xml:space="preserve">,</w:t>
      </w:r>
      <w:r>
        <w:t xml:space="preserve"> </w:t>
      </w:r>
      <w:r>
        <w:rPr>
          <w:rStyle w:val="VerbatimChar"/>
        </w:rPr>
        <w:t xml:space="preserve">monitor_*</w:t>
      </w:r>
      <w:r>
        <w:t xml:space="preserve">; la metadata store (</w:t>
      </w:r>
      <w:r>
        <w:rPr>
          <w:rStyle w:val="VerbatimChar"/>
        </w:rPr>
        <w:t xml:space="preserve">etl/metadata_store.py</w:t>
      </w:r>
      <w:r>
        <w:t xml:space="preserve">) refresca vistas materializadas y persiste linaje/ejecuciones. UI expone</w:t>
      </w:r>
      <w:r>
        <w:t xml:space="preserve"> </w:t>
      </w:r>
      <w:r>
        <w:rPr>
          <w:rStyle w:val="VerbatimChar"/>
        </w:rPr>
        <w:t xml:space="preserve">/monitoreo</w:t>
      </w:r>
      <w:r>
        <w:t xml:space="preserve"> </w:t>
      </w:r>
      <w:r>
        <w:t xml:space="preserve">con métricas de jobs y HTTP (</w:t>
      </w:r>
      <w:r>
        <w:rPr>
          <w:rStyle w:val="VerbatimChar"/>
        </w:rPr>
        <w:t xml:space="preserve">web/templates/monitoreo.html</w:t>
      </w:r>
      <w:r>
        <w:t xml:space="preserve">).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Catálogo y referencias BCCh</w:t>
      </w:r>
      <w:r>
        <w:t xml:space="preserve">: script</w:t>
      </w:r>
      <w:r>
        <w:t xml:space="preserve"> </w:t>
      </w:r>
      <w:r>
        <w:rPr>
          <w:rStyle w:val="VerbatimChar"/>
        </w:rPr>
        <w:t xml:space="preserve">scripts/fetch_bcch_series.py</w:t>
      </w:r>
      <w:r>
        <w:t xml:space="preserve"> </w:t>
      </w:r>
      <w:r>
        <w:t xml:space="preserve">descarga IPC, PIB, PPP, tipo de cambio y población a</w:t>
      </w:r>
      <w:r>
        <w:t xml:space="preserve"> </w:t>
      </w:r>
      <w:r>
        <w:rPr>
          <w:rStyle w:val="VerbatimChar"/>
        </w:rPr>
        <w:t xml:space="preserve">data/ref/bcch/</w:t>
      </w:r>
      <w:r>
        <w:t xml:space="preserve">; las series seleccionadas quedan inventariadas en</w:t>
      </w:r>
      <w:r>
        <w:t xml:space="preserve"> </w:t>
      </w:r>
      <w:r>
        <w:rPr>
          <w:rStyle w:val="VerbatimChar"/>
        </w:rPr>
        <w:t xml:space="preserve">data/meta/ref_bcch_series_selected.csv</w:t>
      </w:r>
      <w:r>
        <w:t xml:space="preserve">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Presupuestos DIPRES en pesos</w:t>
      </w:r>
      <w:r>
        <w:t xml:space="preserve">:</w:t>
      </w:r>
      <w:r>
        <w:t xml:space="preserve"> </w:t>
      </w:r>
      <w:r>
        <w:rPr>
          <w:rStyle w:val="VerbatimChar"/>
        </w:rPr>
        <w:t xml:space="preserve">etl/pipelines/dipres_budget.py</w:t>
      </w:r>
      <w:r>
        <w:t xml:space="preserve"> </w:t>
      </w:r>
      <w:r>
        <w:t xml:space="preserve">elimina montos placebo (≤$1 000), homologa escalas/moeda original y actualiza</w:t>
      </w:r>
      <w:r>
        <w:t xml:space="preserve"> </w:t>
      </w:r>
      <w:r>
        <w:rPr>
          <w:rStyle w:val="VerbatimChar"/>
        </w:rPr>
        <w:t xml:space="preserve">data/bronze/*</w:t>
      </w:r>
      <w:r>
        <w:t xml:space="preserve">. Se agregaron herramientas de QA (</w:t>
      </w:r>
      <w:r>
        <w:rPr>
          <w:rStyle w:val="VerbatimChar"/>
        </w:rPr>
        <w:t xml:space="preserve">scripts/qa_budget_vs_bcch.py</w:t>
      </w:r>
      <w:r>
        <w:t xml:space="preserve">,</w:t>
      </w:r>
      <w:r>
        <w:t xml:space="preserve"> </w:t>
      </w:r>
      <w:r>
        <w:rPr>
          <w:rStyle w:val="VerbatimChar"/>
        </w:rPr>
        <w:t xml:space="preserve">docs/qa/budget_vs_bcch.md</w:t>
      </w:r>
      <w:r>
        <w:t xml:space="preserve">) que comparan nuestra ley vs el</w:t>
      </w:r>
      <w:r>
        <w:t xml:space="preserve"> </w:t>
      </w:r>
      <w:r>
        <w:t xml:space="preserve">“Gobierno General”</w:t>
      </w:r>
      <w:r>
        <w:t xml:space="preserve"> </w:t>
      </w:r>
      <w:r>
        <w:t xml:space="preserve">del Banco Central.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Documentación y backlog</w:t>
      </w:r>
      <w:r>
        <w:t xml:space="preserve">: nuevas guías (</w:t>
      </w:r>
      <w:r>
        <w:rPr>
          <w:rStyle w:val="VerbatimChar"/>
        </w:rPr>
        <w:t xml:space="preserve">docs/api_structure.md</w:t>
      </w:r>
      <w:r>
        <w:t xml:space="preserve">,</w:t>
      </w:r>
      <w:r>
        <w:t xml:space="preserve"> </w:t>
      </w:r>
      <w:r>
        <w:rPr>
          <w:rStyle w:val="VerbatimChar"/>
        </w:rPr>
        <w:t xml:space="preserve">docs/changelog.md</w:t>
      </w:r>
      <w:r>
        <w:t xml:space="preserve">,</w:t>
      </w:r>
      <w:r>
        <w:t xml:space="preserve"> </w:t>
      </w:r>
      <w:r>
        <w:rPr>
          <w:rStyle w:val="VerbatimChar"/>
        </w:rPr>
        <w:t xml:space="preserve">docs/refactor_scatastro.md</w:t>
      </w:r>
      <w:r>
        <w:t xml:space="preserve">) y actualizaciones en catálogos/ETL/operaciones para reflejar la modularización y los procesos de QA.</w:t>
      </w:r>
    </w:p>
    <w:bookmarkEnd w:id="23"/>
    <w:bookmarkStart w:id="24" w:name="section-4"/>
    <w:p>
      <w:pPr>
        <w:pStyle w:val="Heading2"/>
      </w:pPr>
      <w:r>
        <w:t xml:space="preserve">0.2.1 · 2025-10-12</w:t>
      </w:r>
    </w:p>
    <w:p>
      <w:pPr>
        <w:pStyle w:val="Compact"/>
        <w:numPr>
          <w:ilvl w:val="0"/>
          <w:numId w:val="1005"/>
        </w:numPr>
      </w:pPr>
      <w:r>
        <w:t xml:space="preserve">Ejecución Total 2023 descargada (12 informes pesos/dólares) y bronzes regenerados.</w:t>
      </w:r>
    </w:p>
    <w:p>
      <w:pPr>
        <w:pStyle w:val="Compact"/>
        <w:numPr>
          <w:ilvl w:val="0"/>
          <w:numId w:val="1005"/>
        </w:numPr>
      </w:pPr>
      <w:r>
        <w:t xml:space="preserve">Cobertura histórica documentada: 2003-2014 sólo reportan cierres trimestrales; 2025 marca septiembre-diciembre como próximos.</w:t>
      </w:r>
    </w:p>
    <w:p>
      <w:pPr>
        <w:pStyle w:val="Compact"/>
        <w:numPr>
          <w:ilvl w:val="0"/>
          <w:numId w:val="1005"/>
        </w:numPr>
      </w:pPr>
      <w:r>
        <w:t xml:space="preserve">Scripts de cobertura (</w:t>
      </w:r>
      <w:r>
        <w:rPr>
          <w:rStyle w:val="VerbatimChar"/>
        </w:rPr>
        <w:t xml:space="preserve">coverage_summary</w:t>
      </w:r>
      <w:r>
        <w:t xml:space="preserve">,</w:t>
      </w:r>
      <w:r>
        <w:t xml:space="preserve"> </w:t>
      </w:r>
      <w:r>
        <w:rPr>
          <w:rStyle w:val="VerbatimChar"/>
        </w:rPr>
        <w:t xml:space="preserve">check_dipres_coverage.py</w:t>
      </w:r>
      <w:r>
        <w:t xml:space="preserve">) distinguen entre faltantes y</w:t>
      </w:r>
      <w:r>
        <w:t xml:space="preserve"> </w:t>
      </w:r>
      <w:r>
        <w:rPr>
          <w:rStyle w:val="VerbatimChar"/>
        </w:rPr>
        <w:t xml:space="preserve">upcoming</w:t>
      </w:r>
      <w:r>
        <w:t xml:space="preserve">.</w:t>
      </w:r>
    </w:p>
    <w:p>
      <w:pPr>
        <w:pStyle w:val="Compact"/>
        <w:numPr>
          <w:ilvl w:val="0"/>
          <w:numId w:val="1005"/>
        </w:numPr>
      </w:pPr>
      <w:r>
        <w:t xml:space="preserve">Integración de Sentry (ASGI) y nuevas variables</w:t>
      </w:r>
      <w:r>
        <w:t xml:space="preserve"> </w:t>
      </w:r>
      <w:r>
        <w:rPr>
          <w:rStyle w:val="VerbatimChar"/>
        </w:rPr>
        <w:t xml:space="preserve">SENTRY_*</w:t>
      </w:r>
      <w:r>
        <w:t xml:space="preserve"> </w:t>
      </w:r>
      <w:r>
        <w:t xml:space="preserve">documentadas en operaciones/envs.</w:t>
      </w:r>
    </w:p>
    <w:p>
      <w:pPr>
        <w:pStyle w:val="Compact"/>
        <w:numPr>
          <w:ilvl w:val="0"/>
          <w:numId w:val="1005"/>
        </w:numPr>
      </w:pPr>
      <w:r>
        <w:t xml:space="preserve">Suites</w:t>
      </w:r>
      <w:r>
        <w:t xml:space="preserve"> </w:t>
      </w:r>
      <w:r>
        <w:rPr>
          <w:rStyle w:val="VerbatimChar"/>
        </w:rPr>
        <w:t xml:space="preserve">pytest</w:t>
      </w:r>
      <w:r>
        <w:t xml:space="preserve"> </w:t>
      </w:r>
      <w:r>
        <w:t xml:space="preserve">actualizadas (sin</w:t>
      </w:r>
      <w:r>
        <w:t xml:space="preserve"> </w:t>
      </w:r>
      <w:r>
        <w:rPr>
          <w:rStyle w:val="VerbatimChar"/>
        </w:rPr>
        <w:t xml:space="preserve">pytest.mark.asyncio</w:t>
      </w:r>
      <w:r>
        <w:t xml:space="preserve">) + regeneración de índice jerárquico y series COFOG.</w:t>
      </w:r>
    </w:p>
    <w:p>
      <w:pPr>
        <w:pStyle w:val="Compact"/>
        <w:numPr>
          <w:ilvl w:val="0"/>
          <w:numId w:val="1005"/>
        </w:numPr>
      </w:pPr>
      <w:r>
        <w:t xml:space="preserve">Nuevas tablas</w:t>
      </w:r>
      <w:r>
        <w:t xml:space="preserve"> </w:t>
      </w:r>
      <w:r>
        <w:rPr>
          <w:rStyle w:val="VerbatimChar"/>
        </w:rPr>
        <w:t xml:space="preserve">meta_*</w:t>
      </w:r>
      <w:r>
        <w:t xml:space="preserve">,</w:t>
      </w:r>
      <w:r>
        <w:t xml:space="preserve"> </w:t>
      </w:r>
      <w:r>
        <w:rPr>
          <w:rStyle w:val="VerbatimChar"/>
        </w:rPr>
        <w:t xml:space="preserve">jobs_*</w:t>
      </w:r>
      <w:r>
        <w:t xml:space="preserve">,</w:t>
      </w:r>
      <w:r>
        <w:t xml:space="preserve"> </w:t>
      </w:r>
      <w:r>
        <w:rPr>
          <w:rStyle w:val="VerbatimChar"/>
        </w:rPr>
        <w:t xml:space="preserve">monitor_*</w:t>
      </w:r>
      <w:r>
        <w:t xml:space="preserve"> </w:t>
      </w:r>
      <w:r>
        <w:t xml:space="preserve">(Alembic</w:t>
      </w:r>
      <w:r>
        <w:t xml:space="preserve"> </w:t>
      </w:r>
      <w:r>
        <w:rPr>
          <w:rStyle w:val="VerbatimChar"/>
        </w:rPr>
        <w:t xml:space="preserve">202510090003</w:t>
      </w:r>
      <w:r>
        <w:t xml:space="preserve">) + prueba</w:t>
      </w:r>
      <w:r>
        <w:t xml:space="preserve"> </w:t>
      </w:r>
      <w:r>
        <w:rPr>
          <w:rStyle w:val="VerbatimChar"/>
        </w:rPr>
        <w:t xml:space="preserve">test_meta_schema_migration.py</w:t>
      </w:r>
      <w:r>
        <w:t xml:space="preserve">.</w:t>
      </w:r>
    </w:p>
    <w:p>
      <w:pPr>
        <w:pStyle w:val="Compact"/>
        <w:numPr>
          <w:ilvl w:val="0"/>
          <w:numId w:val="1005"/>
        </w:numPr>
      </w:pPr>
      <w:r>
        <w:t xml:space="preserve">DipresBudgetBronze persiste runs en</w:t>
      </w:r>
      <w:r>
        <w:t xml:space="preserve"> </w:t>
      </w:r>
      <w:r>
        <w:rPr>
          <w:rStyle w:val="VerbatimChar"/>
        </w:rPr>
        <w:t xml:space="preserve">jobs_runs</w:t>
      </w:r>
      <w:r>
        <w:t xml:space="preserve"> </w:t>
      </w:r>
      <w:r>
        <w:t xml:space="preserve">y actualiza</w:t>
      </w:r>
      <w:r>
        <w:t xml:space="preserve"> </w:t>
      </w:r>
      <w:r>
        <w:rPr>
          <w:rStyle w:val="VerbatimChar"/>
        </w:rPr>
        <w:t xml:space="preserve">meta_datasets/meta_files/meta_tables/meta_lineage</w:t>
      </w:r>
      <w:r>
        <w:t xml:space="preserve"> </w:t>
      </w:r>
      <w:r>
        <w:t xml:space="preserve">automáticamente (ver</w:t>
      </w:r>
      <w:r>
        <w:t xml:space="preserve"> </w:t>
      </w:r>
      <w:r>
        <w:rPr>
          <w:rStyle w:val="VerbatimChar"/>
        </w:rPr>
        <w:t xml:space="preserve">tests/data/test_metadata_instrumentation.py</w:t>
      </w:r>
      <w:r>
        <w:t xml:space="preserve">).</w:t>
      </w:r>
    </w:p>
    <w:p>
      <w:pPr>
        <w:pStyle w:val="Compact"/>
        <w:numPr>
          <w:ilvl w:val="0"/>
          <w:numId w:val="1005"/>
        </w:numPr>
      </w:pPr>
      <w:r>
        <w:t xml:space="preserve">Nuevo endpoint</w:t>
      </w:r>
      <w:r>
        <w:t xml:space="preserve"> </w:t>
      </w:r>
      <w:r>
        <w:rPr>
          <w:rStyle w:val="VerbatimChar"/>
        </w:rPr>
        <w:t xml:space="preserve">/api/{version}/data/{schema.table}</w:t>
      </w:r>
      <w:r>
        <w:t xml:space="preserve"> </w:t>
      </w:r>
      <w:r>
        <w:t xml:space="preserve">con filtros, paginación y metadatos de linaje (ver</w:t>
      </w:r>
      <w:r>
        <w:t xml:space="preserve"> </w:t>
      </w:r>
      <w:r>
        <w:rPr>
          <w:rStyle w:val="VerbatimChar"/>
        </w:rPr>
        <w:t xml:space="preserve">tests/api/test_data_endpoint.py</w:t>
      </w:r>
      <w:r>
        <w:t xml:space="preserve">).</w:t>
      </w:r>
    </w:p>
    <w:p>
      <w:pPr>
        <w:pStyle w:val="Compact"/>
        <w:numPr>
          <w:ilvl w:val="0"/>
          <w:numId w:val="1005"/>
        </w:numPr>
      </w:pPr>
      <w:r>
        <w:t xml:space="preserve">Nueva vista</w:t>
      </w:r>
      <w:r>
        <w:t xml:space="preserve"> </w:t>
      </w:r>
      <w:r>
        <w:rPr>
          <w:rStyle w:val="VerbatimChar"/>
        </w:rPr>
        <w:t xml:space="preserve">/monitoreo</w:t>
      </w:r>
      <w:r>
        <w:t xml:space="preserve"> </w:t>
      </w:r>
      <w:r>
        <w:t xml:space="preserve">para revisar integraciones, ejecuciones y métricas HTTP desde la UI.</w:t>
      </w:r>
    </w:p>
    <w:bookmarkEnd w:id="24"/>
    <w:bookmarkStart w:id="25" w:name="section-5"/>
    <w:p>
      <w:pPr>
        <w:pStyle w:val="Heading2"/>
      </w:pPr>
      <w:r>
        <w:t xml:space="preserve">0.2.0 · 2025-10-10</w:t>
      </w:r>
    </w:p>
    <w:p>
      <w:pPr>
        <w:pStyle w:val="Compact"/>
        <w:numPr>
          <w:ilvl w:val="0"/>
          <w:numId w:val="1006"/>
        </w:numPr>
      </w:pPr>
      <w:r>
        <w:t xml:space="preserve">Nueva navegación con</w:t>
      </w:r>
      <w:r>
        <w:t xml:space="preserve"> </w:t>
      </w:r>
      <w:r>
        <w:rPr>
          <w:rStyle w:val="VerbatimChar"/>
        </w:rPr>
        <w:t xml:space="preserve">navbar</w:t>
      </w:r>
      <w:r>
        <w:t xml:space="preserve">,</w:t>
      </w:r>
      <w:r>
        <w:t xml:space="preserve"> </w:t>
      </w:r>
      <w:r>
        <w:rPr>
          <w:rStyle w:val="VerbatimChar"/>
        </w:rPr>
        <w:t xml:space="preserve">sidebar</w:t>
      </w:r>
      <w:r>
        <w:t xml:space="preserve">, modo claro/oscuro y tarjetas de trazabilidad.</w:t>
      </w:r>
    </w:p>
    <w:p>
      <w:pPr>
        <w:pStyle w:val="Compact"/>
        <w:numPr>
          <w:ilvl w:val="0"/>
          <w:numId w:val="1006"/>
        </w:numPr>
      </w:pPr>
      <w:r>
        <w:t xml:space="preserve">API expuesta en</w:t>
      </w:r>
      <w:r>
        <w:t xml:space="preserve"> </w:t>
      </w:r>
      <w:r>
        <w:rPr>
          <w:rStyle w:val="VerbatimChar"/>
        </w:rPr>
        <w:t xml:space="preserve">/api/0.2.0/…</w:t>
      </w:r>
      <w:r>
        <w:t xml:space="preserve"> </w:t>
      </w:r>
      <w:r>
        <w:t xml:space="preserve">con inventario DIPRES y referencias BCCh documentadas.</w:t>
      </w:r>
    </w:p>
    <w:p>
      <w:pPr>
        <w:pStyle w:val="Compact"/>
        <w:numPr>
          <w:ilvl w:val="0"/>
          <w:numId w:val="1006"/>
        </w:numPr>
      </w:pPr>
      <w:r>
        <w:t xml:space="preserve">Mejoras en la capa bronze (presupuestos) y validaciones de cobertura DIPRES.</w:t>
      </w:r>
    </w:p>
    <w:p>
      <w:pPr>
        <w:pStyle w:val="Compact"/>
        <w:numPr>
          <w:ilvl w:val="0"/>
          <w:numId w:val="1006"/>
        </w:numPr>
      </w:pPr>
      <w:r>
        <w:t xml:space="preserve">Glosario de partidas/capítulos/programas (</w:t>
      </w:r>
      <w:r>
        <w:rPr>
          <w:rStyle w:val="VerbatimChar"/>
        </w:rPr>
        <w:t xml:space="preserve">data/meta/diccionarios/dipres_programas.csv</w:t>
      </w:r>
      <w:r>
        <w:t xml:space="preserve">) generado automáticamente por</w:t>
      </w:r>
      <w:r>
        <w:t xml:space="preserve"> </w:t>
      </w:r>
      <w:r>
        <w:rPr>
          <w:rStyle w:val="VerbatimChar"/>
        </w:rPr>
        <w:t xml:space="preserve">DipresBudgetBronze</w:t>
      </w:r>
      <w:r>
        <w:t xml:space="preserve"> </w:t>
      </w:r>
      <w:r>
        <w:t xml:space="preserve">y documentado en el catálogo DIPRES.</w:t>
      </w:r>
    </w:p>
    <w:p>
      <w:pPr>
        <w:pStyle w:val="Compact"/>
        <w:numPr>
          <w:ilvl w:val="0"/>
          <w:numId w:val="1006"/>
        </w:numPr>
      </w:pPr>
      <w:r>
        <w:t xml:space="preserve">Serie COFOG (</w:t>
      </w:r>
      <w:r>
        <w:rPr>
          <w:rStyle w:val="VerbatimChar"/>
        </w:rPr>
        <w:t xml:space="preserve">scripts/build_cofog_series.py</w:t>
      </w:r>
      <w:r>
        <w:t xml:space="preserve">) con montos nominales/real base 2018 y participaciones (% gasto público, % PIB) por función y subfunción.</w:t>
      </w:r>
    </w:p>
    <w:p>
      <w:pPr>
        <w:pStyle w:val="Compact"/>
        <w:numPr>
          <w:ilvl w:val="0"/>
          <w:numId w:val="1006"/>
        </w:numPr>
      </w:pPr>
      <w:r>
        <w:t xml:space="preserve">Documentación actualizada para ETL, catálogos y referencias macroeconómicas (BCCh).</w:t>
      </w:r>
    </w:p>
    <w:bookmarkEnd w:id="25"/>
    <w:bookmarkStart w:id="26" w:name="section-6"/>
    <w:p>
      <w:pPr>
        <w:pStyle w:val="Heading2"/>
      </w:pPr>
      <w:r>
        <w:t xml:space="preserve">0.1.0 · 2025-09-30</w:t>
      </w:r>
    </w:p>
    <w:p>
      <w:pPr>
        <w:pStyle w:val="Compact"/>
        <w:numPr>
          <w:ilvl w:val="0"/>
          <w:numId w:val="1007"/>
        </w:numPr>
      </w:pPr>
      <w:r>
        <w:t xml:space="preserve">Migración inicial del monorepo (</w:t>
      </w:r>
      <w:r>
        <w:rPr>
          <w:rStyle w:val="VerbatimChar"/>
        </w:rPr>
        <w:t xml:space="preserve">api</w:t>
      </w:r>
      <w:r>
        <w:t xml:space="preserve">,</w:t>
      </w:r>
      <w:r>
        <w:t xml:space="preserve"> </w:t>
      </w:r>
      <w:r>
        <w:rPr>
          <w:rStyle w:val="VerbatimChar"/>
        </w:rPr>
        <w:t xml:space="preserve">web</w:t>
      </w:r>
      <w:r>
        <w:t xml:space="preserve">,</w:t>
      </w:r>
      <w:r>
        <w:t xml:space="preserve"> </w:t>
      </w:r>
      <w:r>
        <w:rPr>
          <w:rStyle w:val="VerbatimChar"/>
        </w:rPr>
        <w:t xml:space="preserve">etl</w:t>
      </w:r>
      <w:r>
        <w:t xml:space="preserve">) con catálogo DIPRES.</w:t>
      </w:r>
    </w:p>
    <w:p>
      <w:pPr>
        <w:pStyle w:val="Compact"/>
        <w:numPr>
          <w:ilvl w:val="0"/>
          <w:numId w:val="1007"/>
        </w:numPr>
      </w:pPr>
      <w:r>
        <w:t xml:space="preserve">Ingesta mínima de presupuestos, seeds de dimensiones y verificación sanitaria (</w:t>
      </w:r>
      <w:r>
        <w:rPr>
          <w:rStyle w:val="VerbatimChar"/>
        </w:rPr>
        <w:t xml:space="preserve">/healthz</w:t>
      </w:r>
      <w:r>
        <w:t xml:space="preserve">).</w:t>
      </w:r>
    </w:p>
    <w:p>
      <w:pPr>
        <w:pStyle w:val="Compact"/>
        <w:numPr>
          <w:ilvl w:val="0"/>
          <w:numId w:val="1007"/>
        </w:numPr>
      </w:pPr>
      <w:r>
        <w:t xml:space="preserve">Setup de CI (lint, tests, smoke) y estructura de documentación (</w:t>
      </w:r>
      <w:r>
        <w:rPr>
          <w:rStyle w:val="VerbatimChar"/>
        </w:rPr>
        <w:t xml:space="preserve">/docs</w:t>
      </w:r>
      <w:r>
        <w:t xml:space="preserve">).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2026-01-16T04:03:02Z</dcterms:created>
  <dcterms:modified xsi:type="dcterms:W3CDTF">2026-01-16T04:03:02Z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toc-title">
    <vt:lpwstr>Table of contents</vt:lpwstr>
  </property>
</Properties>
</file>