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catálogo-de-la-api-rest"/>
    <w:p>
      <w:pPr>
        <w:pStyle w:val="Heading1"/>
      </w:pPr>
      <w:r>
        <w:t xml:space="preserve">Catálogo de la API REST</w:t>
      </w:r>
    </w:p>
    <w:bookmarkStart w:id="20" w:name="convenciones-generales"/>
    <w:p>
      <w:pPr>
        <w:pStyle w:val="Heading2"/>
      </w:pPr>
      <w:r>
        <w:t xml:space="preserve">Convenciones generales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Versión en la URL:</w:t>
      </w:r>
      <w:r>
        <w:t xml:space="preserve"> </w:t>
      </w:r>
      <w:r>
        <w:t xml:space="preserve">todas las rutas comienzan con</w:t>
      </w:r>
      <w:r>
        <w:t xml:space="preserve"> </w:t>
      </w:r>
      <w:r>
        <w:rPr>
          <w:rStyle w:val="VerbatimChar"/>
        </w:rPr>
        <w:t xml:space="preserve">/api/0.6.9/</w:t>
      </w:r>
      <w:r>
        <w:t xml:space="preserve">. La versión sigue semver (</w:t>
      </w:r>
      <w:r>
        <w:rPr>
          <w:rStyle w:val="VerbatimChar"/>
        </w:rPr>
        <w:t xml:space="preserve">VERSION</w:t>
      </w:r>
      <w:r>
        <w:t xml:space="preserve">) y se complementa con el hash git en los healthchecks.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Estructura RESTful:</w:t>
      </w:r>
      <w:r>
        <w:t xml:space="preserve"> </w:t>
      </w:r>
      <w:r>
        <w:rPr>
          <w:rStyle w:val="VerbatimChar"/>
        </w:rPr>
        <w:t xml:space="preserve">/api/&lt;version&gt;/&lt;colección&gt;/&lt;recurso&gt;/&lt;subcolección&gt;/&lt;subrecurso&gt;?filters=&amp;sort=&amp;page=&amp;page_size=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Formato de respuesta:</w:t>
      </w:r>
      <w:r>
        <w:t xml:space="preserve"> </w:t>
      </w:r>
      <w:r>
        <w:t xml:space="preserve">JSON envolviendo</w:t>
      </w:r>
      <w:r>
        <w:t xml:space="preserve"> </w:t>
      </w:r>
      <w:r>
        <w:rPr>
          <w:rStyle w:val="VerbatimChar"/>
        </w:rPr>
        <w:t xml:space="preserve">data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meta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Códigos HTTP:</w:t>
      </w:r>
    </w:p>
    <w:p>
      <w:pPr>
        <w:pStyle w:val="Compact"/>
        <w:numPr>
          <w:ilvl w:val="1"/>
          <w:numId w:val="1002"/>
        </w:numPr>
      </w:pPr>
      <w:r>
        <w:rPr>
          <w:rStyle w:val="VerbatimChar"/>
        </w:rPr>
        <w:t xml:space="preserve">200</w:t>
      </w:r>
      <w:r>
        <w:t xml:space="preserve">: respuesta exitosa.</w:t>
      </w:r>
    </w:p>
    <w:p>
      <w:pPr>
        <w:pStyle w:val="Compact"/>
        <w:numPr>
          <w:ilvl w:val="1"/>
          <w:numId w:val="1002"/>
        </w:numPr>
      </w:pPr>
      <w:r>
        <w:rPr>
          <w:rStyle w:val="VerbatimChar"/>
        </w:rPr>
        <w:t xml:space="preserve">404</w:t>
      </w:r>
      <w:r>
        <w:t xml:space="preserve">: recurso no disponible.</w:t>
      </w:r>
    </w:p>
    <w:p>
      <w:pPr>
        <w:pStyle w:val="Compact"/>
        <w:numPr>
          <w:ilvl w:val="1"/>
          <w:numId w:val="1002"/>
        </w:numPr>
      </w:pPr>
      <w:r>
        <w:rPr>
          <w:rStyle w:val="VerbatimChar"/>
        </w:rPr>
        <w:t xml:space="preserve">422</w:t>
      </w:r>
      <w:r>
        <w:t xml:space="preserve">: parámetros inválidos.</w:t>
      </w:r>
    </w:p>
    <w:p>
      <w:pPr>
        <w:pStyle w:val="Compact"/>
        <w:numPr>
          <w:ilvl w:val="1"/>
          <w:numId w:val="1002"/>
        </w:numPr>
      </w:pPr>
      <w:r>
        <w:rPr>
          <w:rStyle w:val="VerbatimChar"/>
        </w:rPr>
        <w:t xml:space="preserve">500</w:t>
      </w:r>
      <w:r>
        <w:t xml:space="preserve">: error interno.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Cache:</w:t>
      </w:r>
      <w:r>
        <w:t xml:space="preserve"> </w:t>
      </w:r>
      <w:r>
        <w:t xml:space="preserve">respuestas GET se cachean en memoria (TTL configurable vía</w:t>
      </w:r>
      <w:r>
        <w:t xml:space="preserve"> </w:t>
      </w:r>
      <w:r>
        <w:rPr>
          <w:rStyle w:val="VerbatimChar"/>
        </w:rPr>
        <w:t xml:space="preserve">API_CACHE_TTL_SECONDS</w:t>
      </w:r>
      <w:r>
        <w:t xml:space="preserve">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OpenAPI:</w:t>
      </w:r>
      <w:r>
        <w:t xml:space="preserve"> </w:t>
      </w:r>
      <w:r>
        <w:t xml:space="preserve">disponible en</w:t>
      </w:r>
      <w:r>
        <w:t xml:space="preserve"> </w:t>
      </w:r>
      <w:r>
        <w:rPr>
          <w:rStyle w:val="VerbatimChar"/>
        </w:rPr>
        <w:t xml:space="preserve">/api/0.6.9/openapi.json</w:t>
      </w:r>
      <w:r>
        <w:t xml:space="preserve"> </w:t>
      </w:r>
      <w:r>
        <w:t xml:space="preserve">y UI interactiva en</w:t>
      </w:r>
      <w:r>
        <w:t xml:space="preserve"> </w:t>
      </w:r>
      <w:r>
        <w:rPr>
          <w:rStyle w:val="VerbatimChar"/>
        </w:rPr>
        <w:t xml:space="preserve">/api/0.6.9/docs</w:t>
      </w:r>
      <w:r>
        <w:t xml:space="preserve">.</w:t>
      </w:r>
    </w:p>
    <w:bookmarkEnd w:id="20"/>
    <w:bookmarkStart w:id="22" w:name="endpoints-principales"/>
    <w:p>
      <w:pPr>
        <w:pStyle w:val="Heading2"/>
      </w:pPr>
      <w:r>
        <w:t xml:space="preserve">Endpoints principales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77"/>
        <w:gridCol w:w="2402"/>
        <w:gridCol w:w="33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Endpoint</w:t>
            </w:r>
          </w:p>
        </w:tc>
        <w:tc>
          <w:tcPr/>
          <w:p>
            <w:pPr>
              <w:pStyle w:val="Compact"/>
            </w:pPr>
            <w:r>
              <w:t xml:space="preserve">Descripción</w:t>
            </w:r>
          </w:p>
        </w:tc>
        <w:tc>
          <w:tcPr/>
          <w:p>
            <w:pPr>
              <w:pStyle w:val="Compact"/>
            </w:pPr>
            <w:r>
              <w:t xml:space="preserve">Ejemplo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/datasets</w:t>
            </w:r>
          </w:p>
        </w:tc>
        <w:tc>
          <w:tcPr/>
          <w:p>
            <w:pPr>
              <w:pStyle w:val="Compact"/>
            </w:pPr>
            <w:r>
              <w:t xml:space="preserve">Lista todo el catálogo registrado en</w:t>
            </w:r>
            <w:r>
              <w:t xml:space="preserve"> </w:t>
            </w:r>
            <w:r>
              <w:rPr>
                <w:rStyle w:val="VerbatimChar"/>
              </w:rPr>
              <w:t xml:space="preserve">data/meta/catalog/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/api/0.6.9/datasets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/datasets/{slug}</w:t>
            </w:r>
          </w:p>
        </w:tc>
        <w:tc>
          <w:tcPr/>
          <w:p>
            <w:pPr>
              <w:pStyle w:val="Compact"/>
            </w:pPr>
            <w:r>
              <w:t xml:space="preserve">Devuelve la ficha completa del dataset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/api/0.6.9/datasets/epdatos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/datasets/{tabla}</w:t>
            </w:r>
          </w:p>
        </w:tc>
        <w:tc>
          <w:tcPr/>
          <w:p>
            <w:pPr>
              <w:pStyle w:val="Compact"/>
            </w:pPr>
            <w:r>
              <w:t xml:space="preserve">Extrae datos tabulares desde Postgres (dimensiones/seeds)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/api/0.6.9/datasets/dim_region?page=1&amp;page_size=25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/datasets/{slug}/{subcolección}</w:t>
            </w:r>
          </w:p>
        </w:tc>
        <w:tc>
          <w:tcPr/>
          <w:p>
            <w:pPr>
              <w:pStyle w:val="Compact"/>
            </w:pPr>
            <w:r>
              <w:t xml:space="preserve">Obtiene secciones del dataset (e.g. esquema, dominios)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/api/0.6.9/datasets/epdatos/esquema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/datasets/{slug}/{subcolección}/{id}</w:t>
            </w:r>
          </w:p>
        </w:tc>
        <w:tc>
          <w:tcPr/>
          <w:p>
            <w:pPr>
              <w:pStyle w:val="Compact"/>
            </w:pPr>
            <w:r>
              <w:t xml:space="preserve">Selecciona un elemento puntual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/api/0.6.9/datasets/epdatos/dominios/geografia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/datasets/{slug}/raw-assets</w:t>
            </w:r>
          </w:p>
        </w:tc>
        <w:tc>
          <w:tcPr/>
          <w:p>
            <w:pPr>
              <w:pStyle w:val="Compact"/>
            </w:pPr>
            <w:r>
              <w:t xml:space="preserve">Lista el inventario raw (manifest DIPRES) con descargas directas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/api/0.6.9/datasets/dipres_ejecucion_total/raw-assets?limit=50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/data/{schema.table}</w:t>
            </w:r>
          </w:p>
        </w:tc>
        <w:tc>
          <w:tcPr/>
          <w:p>
            <w:pPr>
              <w:pStyle w:val="Compact"/>
            </w:pPr>
            <w:r>
              <w:t xml:space="preserve">Consulta una tabla con filtros/paginación y linaje meta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/api/0.6.9/data/bronze.dipres_presupuestos_totales?columns=slug,moneda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/datasets/dipres_presupuestos</w:t>
            </w:r>
          </w:p>
        </w:tc>
        <w:tc>
          <w:tcPr/>
          <w:p>
            <w:pPr>
              <w:pStyle w:val="Compact"/>
            </w:pPr>
            <w:r>
              <w:t xml:space="preserve">Ficha del dataset DIPRES con descargas + esquema bronze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/api/0.6.9/datasets/dipres_presupuestos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/health</w:t>
            </w:r>
          </w:p>
        </w:tc>
        <w:tc>
          <w:tcPr/>
          <w:p>
            <w:pPr>
              <w:pStyle w:val="Compact"/>
            </w:pPr>
            <w:r>
              <w:t xml:space="preserve">Estado del API (readiness)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/api/0.6.9/health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/status</w:t>
            </w:r>
          </w:p>
        </w:tc>
        <w:tc>
          <w:tcPr/>
          <w:p>
            <w:pPr>
              <w:pStyle w:val="Compact"/>
            </w:pPr>
            <w:r>
              <w:t xml:space="preserve">Métricas, cobertura DIPRES y últimos payloads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/presupuestos</w:t>
            </w:r>
          </w:p>
        </w:tc>
        <w:tc>
          <w:tcPr/>
          <w:p>
            <w:pPr>
              <w:pStyle w:val="Compact"/>
            </w:pPr>
            <w:r>
              <w:t xml:space="preserve">Lista de presupuestos normalizados (silver)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/api/0.6.9/presupuestos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/presupuestos/{slug}</w:t>
            </w:r>
          </w:p>
        </w:tc>
        <w:tc>
          <w:tcPr/>
          <w:p>
            <w:pPr>
              <w:pStyle w:val="Compact"/>
            </w:pPr>
            <w:r>
              <w:t xml:space="preserve">Detalle y totales agregados del presupuesto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/api/0.6.9/presupuestos/ejecucion_total-ejecucion-2024-enero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/presupuestos/{slug}/partidas</w:t>
            </w:r>
          </w:p>
        </w:tc>
        <w:tc>
          <w:tcPr/>
          <w:p>
            <w:pPr>
              <w:pStyle w:val="Compact"/>
            </w:pPr>
            <w:r>
              <w:t xml:space="preserve">Jerarquía nivel Partidas (filtros/paginación)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/api/0.6.9/presupuestos/ejecucion_total-ejecucion-2024-enero/partidas?filters=codigo:10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/presupuestos/{slug}/partidas/{codigo}/capitulos/...</w:t>
            </w:r>
          </w:p>
        </w:tc>
        <w:tc>
          <w:tcPr/>
          <w:p>
            <w:pPr>
              <w:pStyle w:val="Compact"/>
            </w:pPr>
            <w:r>
              <w:t xml:space="preserve">Navegación recursiva hasta asignaciones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/api/0.6.9/presupuestos/{slug}/partidas/{codigo}/capitulos/{codigo}/programas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/presupuestos/stats</w:t>
            </w:r>
          </w:p>
        </w:tc>
        <w:tc>
          <w:tcPr/>
          <w:p>
            <w:pPr>
              <w:pStyle w:val="Compact"/>
            </w:pPr>
            <w:r>
              <w:t xml:space="preserve">Métricas agregadas y variaciones interanuales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/api/0.6.9/presupuestos/stats?nivel=partida&amp;aggregate=true</w:t>
            </w:r>
          </w:p>
        </w:tc>
      </w:tr>
    </w:tbl>
    <w:p>
      <w:pPr>
        <w:pStyle w:val="BlockText"/>
      </w:pPr>
      <w:r>
        <w:t xml:space="preserve">Las colecciones permitidas actualmente son</w:t>
      </w:r>
      <w:r>
        <w:t xml:space="preserve"> </w:t>
      </w:r>
      <w:r>
        <w:rPr>
          <w:rStyle w:val="VerbatimChar"/>
        </w:rPr>
        <w:t xml:space="preserve">datasets</w:t>
      </w:r>
      <w:r>
        <w:t xml:space="preserve">. Nuevas colecciones deben declararse en</w:t>
      </w:r>
      <w:r>
        <w:t xml:space="preserve"> </w:t>
      </w:r>
      <w:r>
        <w:rPr>
          <w:rStyle w:val="VerbatimChar"/>
        </w:rPr>
        <w:t xml:space="preserve">ALLOWED_TABLES</w:t>
      </w:r>
      <w:r>
        <w:t xml:space="preserve"> </w:t>
      </w:r>
      <w:r>
        <w:t xml:space="preserve">o ampliar la lógica en</w:t>
      </w:r>
      <w:r>
        <w:t xml:space="preserve"> </w:t>
      </w:r>
      <w:r>
        <w:rPr>
          <w:rStyle w:val="VerbatimChar"/>
        </w:rPr>
        <w:t xml:space="preserve">api/routes/catalog.py</w:t>
      </w:r>
      <w:r>
        <w:t xml:space="preserve">.</w:t>
      </w:r>
    </w:p>
    <w:bookmarkStart w:id="21" w:name="referencias-macroeconómicas-bcch"/>
    <w:p>
      <w:pPr>
        <w:pStyle w:val="Heading3"/>
      </w:pPr>
      <w:r>
        <w:t xml:space="preserve">Referencias macroeconómicas (BCCh)</w:t>
      </w:r>
    </w:p>
    <w:p>
      <w:pPr>
        <w:pStyle w:val="FirstParagraph"/>
      </w:pPr>
      <w:r>
        <w:t xml:space="preserve">Las series IPC/PIB descargadas a través de</w:t>
      </w:r>
      <w:r>
        <w:t xml:space="preserve"> </w:t>
      </w:r>
      <w:r>
        <w:rPr>
          <w:rStyle w:val="VerbatimChar"/>
        </w:rPr>
        <w:t xml:space="preserve">scripts/fetch_bcch_series.py</w:t>
      </w:r>
      <w:r>
        <w:t xml:space="preserve"> </w:t>
      </w:r>
      <w:r>
        <w:t xml:space="preserve">viven en</w:t>
      </w:r>
      <w:r>
        <w:t xml:space="preserve"> </w:t>
      </w:r>
      <w:r>
        <w:rPr>
          <w:rStyle w:val="VerbatimChar"/>
        </w:rPr>
        <w:t xml:space="preserve">data/ref/bcch/</w:t>
      </w:r>
      <w:r>
        <w:t xml:space="preserve">. Aún no se exponen como endpoints públicos, pero la API reconoce el catálogo</w:t>
      </w:r>
      <w:r>
        <w:t xml:space="preserve"> </w:t>
      </w:r>
      <w:r>
        <w:rPr>
          <w:rStyle w:val="VerbatimChar"/>
        </w:rPr>
        <w:t xml:space="preserve">ref_bcch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07"/>
        <w:gridCol w:w="2640"/>
        <w:gridCol w:w="287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Endpoint</w:t>
            </w:r>
          </w:p>
        </w:tc>
        <w:tc>
          <w:tcPr/>
          <w:p>
            <w:pPr>
              <w:pStyle w:val="Compact"/>
            </w:pPr>
            <w:r>
              <w:t xml:space="preserve">Descripción</w:t>
            </w:r>
          </w:p>
        </w:tc>
        <w:tc>
          <w:tcPr/>
          <w:p>
            <w:pPr>
              <w:pStyle w:val="Compact"/>
            </w:pPr>
            <w:r>
              <w:t xml:space="preserve">Ejemplo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/datasets/ref_bcch</w:t>
            </w:r>
          </w:p>
        </w:tc>
        <w:tc>
          <w:tcPr/>
          <w:p>
            <w:pPr>
              <w:pStyle w:val="Compact"/>
            </w:pPr>
            <w:r>
              <w:t xml:space="preserve">Ficha del paquete BCCh (IPC y PIB)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/api/0.6.9/datasets/ref_bcch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/datasets/ref_bcch/schema</w:t>
            </w:r>
          </w:p>
        </w:tc>
        <w:tc>
          <w:tcPr/>
          <w:p>
            <w:pPr>
              <w:pStyle w:val="Compact"/>
            </w:pPr>
            <w:r>
              <w:t xml:space="preserve">Esquema de tablas de referencia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/api/0.6.9/datasets/ref_bcch/schema</w:t>
            </w:r>
          </w:p>
        </w:tc>
      </w:tr>
    </w:tbl>
    <w:p>
      <w:pPr>
        <w:pStyle w:val="BodyText"/>
      </w:pPr>
      <w:r>
        <w:t xml:space="preserve">Si necesitas exponer datos tabulares directamente (</w:t>
      </w:r>
      <w:r>
        <w:rPr>
          <w:rStyle w:val="VerbatimChar"/>
        </w:rPr>
        <w:t xml:space="preserve">/datasets/ref_bcch/bcch_ipc_mensual</w:t>
      </w:r>
      <w:r>
        <w:t xml:space="preserve">), agrega la tabla a</w:t>
      </w:r>
      <w:r>
        <w:t xml:space="preserve"> </w:t>
      </w:r>
      <w:r>
        <w:rPr>
          <w:rStyle w:val="VerbatimChar"/>
        </w:rPr>
        <w:t xml:space="preserve">ALLOWED_TABLES</w:t>
      </w:r>
      <w:r>
        <w:t xml:space="preserve"> </w:t>
      </w:r>
      <w:r>
        <w:t xml:space="preserve">o crea endpoints dedicados (aún pendiente).</w:t>
      </w:r>
    </w:p>
    <w:bookmarkEnd w:id="21"/>
    <w:bookmarkEnd w:id="22"/>
    <w:bookmarkStart w:id="24" w:name="parámetros-soportados"/>
    <w:p>
      <w:pPr>
        <w:pStyle w:val="Heading2"/>
      </w:pPr>
      <w:r>
        <w:t xml:space="preserve">Parámetros soportados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filters</w:t>
      </w:r>
      <w:r>
        <w:t xml:space="preserve">: repetible, formato</w:t>
      </w:r>
      <w:r>
        <w:t xml:space="preserve"> </w:t>
      </w:r>
      <w:r>
        <w:rPr>
          <w:rStyle w:val="VerbatimChar"/>
        </w:rPr>
        <w:t xml:space="preserve">campo:valor</w:t>
      </w:r>
      <w:r>
        <w:t xml:space="preserve">. Sólo campos permitidos por tabla (</w:t>
      </w:r>
      <w:r>
        <w:rPr>
          <w:rStyle w:val="VerbatimChar"/>
        </w:rPr>
        <w:t xml:space="preserve">api/routes/catalog.py::ALLOWED_TABLES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sort</w:t>
      </w:r>
      <w:r>
        <w:t xml:space="preserve">: columna para ordenar.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order</w:t>
      </w:r>
      <w:r>
        <w:t xml:space="preserve">:</w:t>
      </w:r>
      <w:r>
        <w:t xml:space="preserve"> </w:t>
      </w:r>
      <w:r>
        <w:rPr>
          <w:rStyle w:val="VerbatimChar"/>
        </w:rPr>
        <w:t xml:space="preserve">asc</w:t>
      </w:r>
      <w:r>
        <w:t xml:space="preserve"> </w:t>
      </w:r>
      <w:r>
        <w:t xml:space="preserve">(default) o</w:t>
      </w:r>
      <w:r>
        <w:t xml:space="preserve"> </w:t>
      </w:r>
      <w:r>
        <w:rPr>
          <w:rStyle w:val="VerbatimChar"/>
        </w:rPr>
        <w:t xml:space="preserve">desc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page</w:t>
      </w:r>
      <w:r>
        <w:t xml:space="preserve">: entero ≥ 1.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page_size</w:t>
      </w:r>
      <w:r>
        <w:t xml:space="preserve">: 1–200.</w:t>
      </w:r>
    </w:p>
    <w:p>
      <w:pPr>
        <w:pStyle w:val="FirstParagraph"/>
      </w:pPr>
      <w:r>
        <w:t xml:space="preserve">Para</w:t>
      </w:r>
      <w:r>
        <w:t xml:space="preserve"> </w:t>
      </w:r>
      <w:r>
        <w:rPr>
          <w:rStyle w:val="VerbatimChar"/>
        </w:rPr>
        <w:t xml:space="preserve">/presupuestos</w:t>
      </w:r>
      <w:r>
        <w:t xml:space="preserve">: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filters</w:t>
      </w:r>
      <w:r>
        <w:t xml:space="preserve">: permite</w:t>
      </w:r>
      <w:r>
        <w:t xml:space="preserve"> </w:t>
      </w:r>
      <w:r>
        <w:rPr>
          <w:rStyle w:val="VerbatimChar"/>
        </w:rPr>
        <w:t xml:space="preserve">codigo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nombre</w:t>
      </w:r>
      <w:r>
        <w:t xml:space="preserve"> </w:t>
      </w:r>
      <w:r>
        <w:t xml:space="preserve">en cada nivel. Se aceptan múltiples valores (</w:t>
      </w:r>
      <w:r>
        <w:rPr>
          <w:rStyle w:val="VerbatimChar"/>
        </w:rPr>
        <w:t xml:space="preserve">?filters=codigo:10&amp;filters=nombre:MINISTERIO</w:t>
      </w:r>
      <w:r>
        <w:t xml:space="preserve">).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sort</w:t>
      </w:r>
      <w:r>
        <w:t xml:space="preserve">:</w:t>
      </w:r>
      <w:r>
        <w:t xml:space="preserve"> </w:t>
      </w:r>
      <w:r>
        <w:rPr>
          <w:rStyle w:val="VerbatimChar"/>
        </w:rPr>
        <w:t xml:space="preserve">codigo</w:t>
      </w:r>
      <w:r>
        <w:t xml:space="preserve">,</w:t>
      </w:r>
      <w:r>
        <w:t xml:space="preserve"> </w:t>
      </w:r>
      <w:r>
        <w:rPr>
          <w:rStyle w:val="VerbatimChar"/>
        </w:rPr>
        <w:t xml:space="preserve">nombre</w:t>
      </w:r>
      <w:r>
        <w:t xml:space="preserve">,</w:t>
      </w:r>
      <w:r>
        <w:t xml:space="preserve"> </w:t>
      </w:r>
      <w:r>
        <w:rPr>
          <w:rStyle w:val="VerbatimChar"/>
        </w:rPr>
        <w:t xml:space="preserve">monto_inicial_clp</w:t>
      </w:r>
      <w:r>
        <w:t xml:space="preserve">,</w:t>
      </w:r>
      <w:r>
        <w:t xml:space="preserve"> </w:t>
      </w:r>
      <w:r>
        <w:rPr>
          <w:rStyle w:val="VerbatimChar"/>
        </w:rPr>
        <w:t xml:space="preserve">monto_ejecutado_clp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order</w:t>
      </w:r>
      <w:r>
        <w:t xml:space="preserve">,</w:t>
      </w:r>
      <w:r>
        <w:t xml:space="preserve"> </w:t>
      </w:r>
      <w:r>
        <w:rPr>
          <w:rStyle w:val="VerbatimChar"/>
        </w:rPr>
        <w:t xml:space="preserve">page</w:t>
      </w:r>
      <w:r>
        <w:t xml:space="preserve">,</w:t>
      </w:r>
      <w:r>
        <w:t xml:space="preserve"> </w:t>
      </w:r>
      <w:r>
        <w:rPr>
          <w:rStyle w:val="VerbatimChar"/>
        </w:rPr>
        <w:t xml:space="preserve">page_size</w:t>
      </w:r>
      <w:r>
        <w:t xml:space="preserve"> </w:t>
      </w:r>
      <w:r>
        <w:t xml:space="preserve">igual que datasets.</w:t>
      </w:r>
    </w:p>
    <w:p>
      <w:pPr>
        <w:pStyle w:val="FirstParagraph"/>
      </w:pPr>
      <w:r>
        <w:t xml:space="preserve">Para</w:t>
      </w:r>
      <w:r>
        <w:t xml:space="preserve"> </w:t>
      </w:r>
      <w:r>
        <w:rPr>
          <w:rStyle w:val="VerbatimChar"/>
        </w:rPr>
        <w:t xml:space="preserve">/datasets/{slug}/raw-assets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year</w:t>
      </w:r>
      <w:r>
        <w:t xml:space="preserve">: año específico (&gt;= 1999).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period</w:t>
      </w:r>
      <w:r>
        <w:t xml:space="preserve">: período exacto (</w:t>
      </w:r>
      <w:r>
        <w:rPr>
          <w:rStyle w:val="VerbatimChar"/>
        </w:rPr>
        <w:t xml:space="preserve">enero</w:t>
      </w:r>
      <w:r>
        <w:t xml:space="preserve">,</w:t>
      </w:r>
      <w:r>
        <w:t xml:space="preserve"> </w:t>
      </w:r>
      <w:r>
        <w:rPr>
          <w:rStyle w:val="VerbatimChar"/>
        </w:rPr>
        <w:t xml:space="preserve">marzo</w:t>
      </w:r>
      <w:r>
        <w:t xml:space="preserve">,</w:t>
      </w:r>
      <w:r>
        <w:t xml:space="preserve"> </w:t>
      </w:r>
      <w:r>
        <w:rPr>
          <w:rStyle w:val="VerbatimChar"/>
        </w:rPr>
        <w:t xml:space="preserve">primer_trimestre</w:t>
      </w:r>
      <w:r>
        <w:t xml:space="preserve">,</w:t>
      </w:r>
      <w:r>
        <w:t xml:space="preserve"> </w:t>
      </w:r>
      <w:r>
        <w:rPr>
          <w:rStyle w:val="VerbatimChar"/>
        </w:rPr>
        <w:t xml:space="preserve">anual</w:t>
      </w:r>
      <w:r>
        <w:t xml:space="preserve">, etc.).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currency</w:t>
      </w:r>
      <w:r>
        <w:t xml:space="preserve">:</w:t>
      </w:r>
      <w:r>
        <w:t xml:space="preserve"> </w:t>
      </w:r>
      <w:r>
        <w:rPr>
          <w:rStyle w:val="VerbatimChar"/>
        </w:rPr>
        <w:t xml:space="preserve">pesos</w:t>
      </w:r>
      <w:r>
        <w:t xml:space="preserve"> </w:t>
      </w:r>
      <w:r>
        <w:t xml:space="preserve">o</w:t>
      </w:r>
      <w:r>
        <w:t xml:space="preserve"> </w:t>
      </w:r>
      <w:r>
        <w:rPr>
          <w:rStyle w:val="VerbatimChar"/>
        </w:rPr>
        <w:t xml:space="preserve">dolares</w:t>
      </w:r>
      <w:r>
        <w:t xml:space="preserve"> </w:t>
      </w:r>
      <w:r>
        <w:t xml:space="preserve">según manifest.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format</w:t>
      </w:r>
      <w:r>
        <w:t xml:space="preserve">: filtra por extensión (</w:t>
      </w:r>
      <w:r>
        <w:rPr>
          <w:rStyle w:val="VerbatimChar"/>
        </w:rPr>
        <w:t xml:space="preserve">csv</w:t>
      </w:r>
      <w:r>
        <w:t xml:space="preserve">,</w:t>
      </w:r>
      <w:r>
        <w:t xml:space="preserve"> </w:t>
      </w:r>
      <w:r>
        <w:rPr>
          <w:rStyle w:val="VerbatimChar"/>
        </w:rPr>
        <w:t xml:space="preserve">xls</w:t>
      </w:r>
      <w:r>
        <w:t xml:space="preserve">,</w:t>
      </w:r>
      <w:r>
        <w:t xml:space="preserve"> </w:t>
      </w:r>
      <w:r>
        <w:rPr>
          <w:rStyle w:val="VerbatimChar"/>
        </w:rPr>
        <w:t xml:space="preserve">xlsx</w:t>
      </w:r>
      <w:r>
        <w:t xml:space="preserve">,</w:t>
      </w:r>
      <w:r>
        <w:t xml:space="preserve"> </w:t>
      </w:r>
      <w:r>
        <w:rPr>
          <w:rStyle w:val="VerbatimChar"/>
        </w:rPr>
        <w:t xml:space="preserve">xml</w:t>
      </w:r>
      <w:r>
        <w:t xml:space="preserve">,</w:t>
      </w:r>
      <w:r>
        <w:t xml:space="preserve"> </w:t>
      </w:r>
      <w:r>
        <w:rPr>
          <w:rStyle w:val="VerbatimChar"/>
        </w:rPr>
        <w:t xml:space="preserve">pdf</w:t>
      </w:r>
      <w:r>
        <w:t xml:space="preserve">).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limit</w:t>
      </w:r>
      <w:r>
        <w:t xml:space="preserve">: cantidad de filas a devolver (1–500, default 200).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offset</w:t>
      </w:r>
      <w:r>
        <w:t xml:space="preserve">: desplazamiento para paginar.</w:t>
      </w:r>
    </w:p>
    <w:p>
      <w:pPr>
        <w:pStyle w:val="FirstParagraph"/>
      </w:pPr>
      <w:r>
        <w:t xml:space="preserve">Endpoint</w:t>
      </w:r>
      <w:r>
        <w:t xml:space="preserve"> </w:t>
      </w:r>
      <w:r>
        <w:rPr>
          <w:rStyle w:val="VerbatimChar"/>
        </w:rPr>
        <w:t xml:space="preserve">/presupuestos/stats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nivel</w:t>
      </w:r>
      <w:r>
        <w:t xml:space="preserve"> </w:t>
      </w:r>
      <w:r>
        <w:t xml:space="preserve">(obligatorio):</w:t>
      </w:r>
      <w:r>
        <w:t xml:space="preserve"> </w:t>
      </w:r>
      <w:r>
        <w:rPr>
          <w:rStyle w:val="VerbatimChar"/>
        </w:rPr>
        <w:t xml:space="preserve">partida</w:t>
      </w:r>
      <w:r>
        <w:t xml:space="preserve">,</w:t>
      </w:r>
      <w:r>
        <w:t xml:space="preserve"> </w:t>
      </w:r>
      <w:r>
        <w:rPr>
          <w:rStyle w:val="VerbatimChar"/>
        </w:rPr>
        <w:t xml:space="preserve">capitulo</w:t>
      </w:r>
      <w:r>
        <w:t xml:space="preserve">,</w:t>
      </w:r>
      <w:r>
        <w:t xml:space="preserve"> </w:t>
      </w:r>
      <w:r>
        <w:rPr>
          <w:rStyle w:val="VerbatimChar"/>
        </w:rPr>
        <w:t xml:space="preserve">programa</w:t>
      </w:r>
      <w:r>
        <w:t xml:space="preserve">,</w:t>
      </w:r>
      <w:r>
        <w:t xml:space="preserve"> </w:t>
      </w:r>
      <w:r>
        <w:rPr>
          <w:rStyle w:val="VerbatimChar"/>
        </w:rPr>
        <w:t xml:space="preserve">subtitulo</w:t>
      </w:r>
      <w:r>
        <w:t xml:space="preserve">,</w:t>
      </w:r>
      <w:r>
        <w:t xml:space="preserve"> </w:t>
      </w:r>
      <w:r>
        <w:rPr>
          <w:rStyle w:val="VerbatimChar"/>
        </w:rPr>
        <w:t xml:space="preserve">item</w:t>
      </w:r>
      <w:r>
        <w:t xml:space="preserve"> </w:t>
      </w:r>
      <w:r>
        <w:t xml:space="preserve">o</w:t>
      </w:r>
      <w:r>
        <w:t xml:space="preserve"> </w:t>
      </w:r>
      <w:r>
        <w:rPr>
          <w:rStyle w:val="VerbatimChar"/>
        </w:rPr>
        <w:t xml:space="preserve">asignacion</w:t>
      </w:r>
      <w:r>
        <w:t xml:space="preserve"> </w:t>
      </w:r>
      <w:r>
        <w:t xml:space="preserve">(plural también aceptado).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path</w:t>
      </w:r>
      <w:r>
        <w:t xml:space="preserve">: ruta jerárquica</w:t>
      </w:r>
      <w:r>
        <w:t xml:space="preserve"> </w:t>
      </w:r>
      <w:r>
        <w:rPr>
          <w:rStyle w:val="VerbatimChar"/>
        </w:rPr>
        <w:t xml:space="preserve">partida/capitulo/...</w:t>
      </w:r>
      <w:r>
        <w:t xml:space="preserve"> </w:t>
      </w:r>
      <w:r>
        <w:t xml:space="preserve">para fijar el contexto.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instrumento</w:t>
      </w:r>
      <w:r>
        <w:t xml:space="preserve">,</w:t>
      </w:r>
      <w:r>
        <w:t xml:space="preserve"> </w:t>
      </w:r>
      <w:r>
        <w:rPr>
          <w:rStyle w:val="VerbatimChar"/>
        </w:rPr>
        <w:t xml:space="preserve">tipo</w:t>
      </w:r>
      <w:r>
        <w:t xml:space="preserve">,</w:t>
      </w:r>
      <w:r>
        <w:t xml:space="preserve"> </w:t>
      </w:r>
      <w:r>
        <w:rPr>
          <w:rStyle w:val="VerbatimChar"/>
        </w:rPr>
        <w:t xml:space="preserve">slug</w:t>
      </w:r>
      <w:r>
        <w:t xml:space="preserve">: filtros directos sobre el presupuesto.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moneda</w:t>
      </w:r>
      <w:r>
        <w:t xml:space="preserve">: filtra por moneda original (</w:t>
      </w:r>
      <w:r>
        <w:rPr>
          <w:rStyle w:val="VerbatimChar"/>
        </w:rPr>
        <w:t xml:space="preserve">pesos</w:t>
      </w:r>
      <w:r>
        <w:t xml:space="preserve">,</w:t>
      </w:r>
      <w:r>
        <w:t xml:space="preserve"> </w:t>
      </w:r>
      <w:r>
        <w:rPr>
          <w:rStyle w:val="VerbatimChar"/>
        </w:rPr>
        <w:t xml:space="preserve">dolares</w:t>
      </w:r>
      <w:r>
        <w:t xml:space="preserve">). Para totales en CLP dejar vacío o</w:t>
      </w:r>
      <w:r>
        <w:t xml:space="preserve"> </w:t>
      </w:r>
      <w:r>
        <w:rPr>
          <w:rStyle w:val="VerbatimChar"/>
        </w:rPr>
        <w:t xml:space="preserve">clp</w:t>
      </w:r>
      <w:r>
        <w:t xml:space="preserve"> </w:t>
      </w:r>
      <w:r>
        <w:t xml:space="preserve">(las columnas</w:t>
      </w:r>
      <w:r>
        <w:t xml:space="preserve"> </w:t>
      </w:r>
      <w:r>
        <w:rPr>
          <w:rStyle w:val="VerbatimChar"/>
        </w:rPr>
        <w:t xml:space="preserve">_clp</w:t>
      </w:r>
      <w:r>
        <w:t xml:space="preserve"> </w:t>
      </w:r>
      <w:r>
        <w:t xml:space="preserve">siempre vienen convertidas).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anio_desde</w:t>
      </w:r>
      <w:r>
        <w:t xml:space="preserve">,</w:t>
      </w:r>
      <w:r>
        <w:t xml:space="preserve"> </w:t>
      </w:r>
      <w:r>
        <w:rPr>
          <w:rStyle w:val="VerbatimChar"/>
        </w:rPr>
        <w:t xml:space="preserve">anio_hasta</w:t>
      </w:r>
      <w:r>
        <w:t xml:space="preserve">: rango de años.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aggregate=true</w:t>
      </w:r>
      <w:r>
        <w:t xml:space="preserve">: agrupa y suma montos por año y códigos.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include_variacion=true</w:t>
      </w:r>
      <w:r>
        <w:t xml:space="preserve">: agrega columnas</w:t>
      </w:r>
      <w:r>
        <w:t xml:space="preserve"> </w:t>
      </w:r>
      <w:r>
        <w:rPr>
          <w:rStyle w:val="VerbatimChar"/>
        </w:rPr>
        <w:t xml:space="preserve">delta_*</w:t>
      </w:r>
      <w:r>
        <w:t xml:space="preserve"> </w:t>
      </w:r>
      <w:r>
        <w:t xml:space="preserve">comparando con el año anterior (no combinable con</w:t>
      </w:r>
      <w:r>
        <w:t xml:space="preserve"> </w:t>
      </w:r>
      <w:r>
        <w:rPr>
          <w:rStyle w:val="VerbatimChar"/>
        </w:rPr>
        <w:t xml:space="preserve">aggregate</w:t>
      </w:r>
      <w:r>
        <w:t xml:space="preserve">).</w:t>
      </w:r>
    </w:p>
    <w:p>
      <w:pPr>
        <w:pStyle w:val="Compact"/>
        <w:numPr>
          <w:ilvl w:val="0"/>
          <w:numId w:val="1006"/>
        </w:numPr>
      </w:pPr>
      <w:r>
        <w:t xml:space="preserve">Si las vistas</w:t>
      </w:r>
      <w:r>
        <w:t xml:space="preserve"> </w:t>
      </w:r>
      <w:r>
        <w:rPr>
          <w:rStyle w:val="VerbatimChar"/>
        </w:rPr>
        <w:t xml:space="preserve">vw_presupuesto_*</w:t>
      </w:r>
      <w:r>
        <w:t xml:space="preserve"> </w:t>
      </w:r>
      <w:r>
        <w:t xml:space="preserve">no están disponibles (p.ej. entorno local sin Postgres), la API se apoya en el manifiesto CSV y calcula las métricas en memoria.</w:t>
      </w:r>
    </w:p>
    <w:bookmarkStart w:id="23" w:name="payloads-de-presupuestos"/>
    <w:p>
      <w:pPr>
        <w:pStyle w:val="Heading3"/>
      </w:pPr>
      <w:r>
        <w:t xml:space="preserve">Payloads de presupuestos</w:t>
      </w:r>
    </w:p>
    <w:p>
      <w:pPr>
        <w:pStyle w:val="Compact"/>
        <w:numPr>
          <w:ilvl w:val="0"/>
          <w:numId w:val="1007"/>
        </w:numPr>
      </w:pPr>
      <w:r>
        <w:t xml:space="preserve">Cada nodo (</w:t>
      </w:r>
      <w:r>
        <w:rPr>
          <w:rStyle w:val="VerbatimChar"/>
        </w:rPr>
        <w:t xml:space="preserve">partidas</w:t>
      </w:r>
      <w:r>
        <w:t xml:space="preserve">,</w:t>
      </w:r>
      <w:r>
        <w:t xml:space="preserve"> </w:t>
      </w:r>
      <w:r>
        <w:rPr>
          <w:rStyle w:val="VerbatimChar"/>
        </w:rPr>
        <w:t xml:space="preserve">capitulos</w:t>
      </w:r>
      <w:r>
        <w:t xml:space="preserve">, etc.) entrega montos normalizados: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monto_*_clp</w:t>
      </w:r>
      <w:r>
        <w:t xml:space="preserve">: valores en pesos chilenos (CLP) transformados con el tipo de cambio oficial.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monto_*_mo</w:t>
      </w:r>
      <w:r>
        <w:t xml:space="preserve">: moneda original (</w:t>
      </w:r>
      <w:r>
        <w:rPr>
          <w:rStyle w:val="VerbatimChar"/>
        </w:rPr>
        <w:t xml:space="preserve">pesos</w:t>
      </w:r>
      <w:r>
        <w:t xml:space="preserve"> </w:t>
      </w:r>
      <w:r>
        <w:t xml:space="preserve">o</w:t>
      </w:r>
      <w:r>
        <w:t xml:space="preserve"> </w:t>
      </w:r>
      <w:r>
        <w:rPr>
          <w:rStyle w:val="VerbatimChar"/>
        </w:rPr>
        <w:t xml:space="preserve">dolares</w:t>
      </w:r>
      <w:r>
        <w:t xml:space="preserve">) en las mismas unidades publicadas por DIPRES.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naturaleza</w:t>
      </w:r>
      <w:r>
        <w:t xml:space="preserve">: clasificación presupuestaria (</w:t>
      </w:r>
      <w:r>
        <w:rPr>
          <w:rStyle w:val="VerbatimChar"/>
        </w:rPr>
        <w:t xml:space="preserve">ingreso</w:t>
      </w:r>
      <w:r>
        <w:t xml:space="preserve">,</w:t>
      </w:r>
      <w:r>
        <w:t xml:space="preserve"> </w:t>
      </w:r>
      <w:r>
        <w:rPr>
          <w:rStyle w:val="VerbatimChar"/>
        </w:rPr>
        <w:t xml:space="preserve">gasto</w:t>
      </w:r>
      <w:r>
        <w:t xml:space="preserve">,</w:t>
      </w:r>
      <w:r>
        <w:t xml:space="preserve"> </w:t>
      </w:r>
      <w:r>
        <w:rPr>
          <w:rStyle w:val="VerbatimChar"/>
        </w:rPr>
        <w:t xml:space="preserve">mixto</w:t>
      </w:r>
      <w:r>
        <w:t xml:space="preserve">,</w:t>
      </w:r>
      <w:r>
        <w:t xml:space="preserve"> </w:t>
      </w:r>
      <w:r>
        <w:rPr>
          <w:rStyle w:val="VerbatimChar"/>
        </w:rPr>
        <w:t xml:space="preserve">desconocido</w:t>
      </w:r>
      <w:r>
        <w:t xml:space="preserve">) según el subtítulo DIPRES.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unidad</w:t>
      </w:r>
      <w:r>
        <w:t xml:space="preserve">: bloque con el factor aplicado (</w:t>
      </w:r>
      <w:r>
        <w:rPr>
          <w:rStyle w:val="VerbatimChar"/>
        </w:rPr>
        <w:t xml:space="preserve">factor_multiplicado = 1</w:t>
      </w:r>
      <w:r>
        <w:t xml:space="preserve">) y la lista de monedas presentes; evita que se vuelva a escalar accidentalmente.</w:t>
      </w:r>
    </w:p>
    <w:p>
      <w:pPr>
        <w:pStyle w:val="Compact"/>
        <w:numPr>
          <w:ilvl w:val="0"/>
          <w:numId w:val="1007"/>
        </w:numPr>
      </w:pPr>
      <w:r>
        <w:t xml:space="preserve">Las respuestas agregadas (</w:t>
      </w:r>
      <w:r>
        <w:rPr>
          <w:rStyle w:val="VerbatimChar"/>
        </w:rPr>
        <w:t xml:space="preserve">/presupuestos/stats</w:t>
      </w:r>
      <w:r>
        <w:t xml:space="preserve">) incluyen en</w:t>
      </w:r>
      <w:r>
        <w:t xml:space="preserve"> </w:t>
      </w:r>
      <w:r>
        <w:rPr>
          <w:rStyle w:val="VerbatimChar"/>
        </w:rPr>
        <w:t xml:space="preserve">meta.unidad</w:t>
      </w:r>
      <w:r>
        <w:t xml:space="preserve"> </w:t>
      </w:r>
      <w:r>
        <w:t xml:space="preserve">la descripción de campos CLP vs. moneda original y el nombre del campo</w:t>
      </w:r>
      <w:r>
        <w:t xml:space="preserve"> </w:t>
      </w:r>
      <w:r>
        <w:rPr>
          <w:rStyle w:val="VerbatimChar"/>
        </w:rPr>
        <w:t xml:space="preserve">naturaleza</w:t>
      </w:r>
      <w:r>
        <w:t xml:space="preserve">.</w:t>
      </w:r>
    </w:p>
    <w:p>
      <w:pPr>
        <w:pStyle w:val="FirstParagraph"/>
      </w:pPr>
      <w:r>
        <w:t xml:space="preserve">Ejemplo con filtros:</w:t>
      </w:r>
    </w:p>
    <w:p>
      <w:pPr>
        <w:pStyle w:val="SourceCode"/>
      </w:pPr>
      <w:r>
        <w:rPr>
          <w:rStyle w:val="VerbatimChar"/>
        </w:rPr>
        <w:t xml:space="preserve">GET /api/0.6.9/datasets/dim_region?filters=region_id:1&amp;sort=orden&amp;order=asc&amp;page=1&amp;page_size=10</w:t>
      </w:r>
    </w:p>
    <w:p>
      <w:pPr>
        <w:pStyle w:val="FirstParagraph"/>
      </w:pPr>
      <w:r>
        <w:t xml:space="preserve">Los datasets que apuntan a DIPRES (</w:t>
      </w:r>
      <w:r>
        <w:rPr>
          <w:rStyle w:val="VerbatimChar"/>
        </w:rPr>
        <w:t xml:space="preserve">dipres_ejecucion_total</w:t>
      </w:r>
      <w:r>
        <w:t xml:space="preserve">,</w:t>
      </w:r>
      <w:r>
        <w:t xml:space="preserve"> </w:t>
      </w:r>
      <w:r>
        <w:rPr>
          <w:rStyle w:val="VerbatimChar"/>
        </w:rPr>
        <w:t xml:space="preserve">dipres_proyecto_ley</w:t>
      </w:r>
      <w:r>
        <w:t xml:space="preserve">,</w:t>
      </w:r>
      <w:r>
        <w:t xml:space="preserve"> </w:t>
      </w:r>
      <w:r>
        <w:rPr>
          <w:rStyle w:val="VerbatimChar"/>
        </w:rPr>
        <w:t xml:space="preserve">dipres_ley_presupuesto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dipres_presupuestos</w:t>
      </w:r>
      <w:r>
        <w:t xml:space="preserve">) incluyen en su respuesta un bloque</w:t>
      </w:r>
      <w:r>
        <w:t xml:space="preserve"> </w:t>
      </w:r>
      <w:r>
        <w:rPr>
          <w:rStyle w:val="VerbatimChar"/>
        </w:rPr>
        <w:t xml:space="preserve">raw_assets</w:t>
      </w:r>
      <w:r>
        <w:t xml:space="preserve"> </w:t>
      </w:r>
      <w:r>
        <w:t xml:space="preserve">con: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summary</w:t>
      </w:r>
      <w:r>
        <w:t xml:space="preserve">: totales, años, monedas y formatos detectados en el manifest.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endpoint</w:t>
      </w:r>
      <w:r>
        <w:t xml:space="preserve">: URL del inventario raw (</w:t>
      </w:r>
      <w:r>
        <w:rPr>
          <w:rStyle w:val="VerbatimChar"/>
        </w:rPr>
        <w:t xml:space="preserve">/datasets/{slug}/raw-assets</w:t>
      </w:r>
      <w:r>
        <w:t xml:space="preserve">).</w:t>
      </w:r>
    </w:p>
    <w:bookmarkEnd w:id="23"/>
    <w:bookmarkEnd w:id="24"/>
    <w:bookmarkStart w:id="25" w:name="Xb36a66f73f70e62eb509d0664f85536064eb96f"/>
    <w:p>
      <w:pPr>
        <w:pStyle w:val="Heading2"/>
      </w:pPr>
      <w:r>
        <w:t xml:space="preserve">Convenciones del catálogo (</w:t>
      </w:r>
      <w:r>
        <w:rPr>
          <w:rStyle w:val="VerbatimChar"/>
        </w:rPr>
        <w:t xml:space="preserve">data/meta/catalog/*.yaml</w:t>
      </w:r>
      <w:r>
        <w:t xml:space="preserve">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Campo</w:t>
            </w:r>
          </w:p>
        </w:tc>
        <w:tc>
          <w:tcPr/>
          <w:p>
            <w:pPr>
              <w:pStyle w:val="Compact"/>
            </w:pPr>
            <w:r>
              <w:t xml:space="preserve">Descripción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slug</w:t>
            </w:r>
          </w:p>
        </w:tc>
        <w:tc>
          <w:tcPr/>
          <w:p>
            <w:pPr>
              <w:pStyle w:val="Compact"/>
            </w:pPr>
            <w:r>
              <w:t xml:space="preserve">Identificador del dataset (usado en rutas)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nombre</w:t>
            </w:r>
          </w:p>
        </w:tc>
        <w:tc>
          <w:tcPr/>
          <w:p>
            <w:pPr>
              <w:pStyle w:val="Compact"/>
            </w:pPr>
            <w:r>
              <w:t xml:space="preserve">Nombre legible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descripcion</w:t>
            </w:r>
          </w:p>
        </w:tc>
        <w:tc>
          <w:tcPr/>
          <w:p>
            <w:pPr>
              <w:pStyle w:val="Compact"/>
            </w:pPr>
            <w:r>
              <w:t xml:space="preserve">Texto corto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origen</w:t>
            </w:r>
          </w:p>
        </w:tc>
        <w:tc>
          <w:tcPr/>
          <w:p>
            <w:pPr>
              <w:pStyle w:val="Compact"/>
            </w:pPr>
            <w:r>
              <w:t xml:space="preserve">Fuente, URL, periodicidad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capas</w:t>
            </w:r>
          </w:p>
        </w:tc>
        <w:tc>
          <w:tcPr/>
          <w:p>
            <w:pPr>
              <w:pStyle w:val="Compact"/>
            </w:pPr>
            <w:r>
              <w:t xml:space="preserve">Información raw/bronze/silver/gold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dominios</w:t>
            </w:r>
          </w:p>
        </w:tc>
        <w:tc>
          <w:tcPr/>
          <w:p>
            <w:pPr>
              <w:pStyle w:val="Compact"/>
            </w:pPr>
            <w:r>
              <w:t xml:space="preserve">Temas o dominios asociados al dataset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esquema</w:t>
            </w:r>
          </w:p>
        </w:tc>
        <w:tc>
          <w:tcPr/>
          <w:p>
            <w:pPr>
              <w:pStyle w:val="Compact"/>
            </w:pPr>
            <w:r>
              <w:t xml:space="preserve">Lista de tablas y campos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lineaje</w:t>
            </w:r>
          </w:p>
        </w:tc>
        <w:tc>
          <w:tcPr/>
          <w:p>
            <w:pPr>
              <w:pStyle w:val="Compact"/>
            </w:pPr>
            <w:r>
              <w:t xml:space="preserve">Información de linaje raw → gold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contacto</w:t>
            </w:r>
          </w:p>
        </w:tc>
        <w:tc>
          <w:tcPr/>
          <w:p>
            <w:pPr>
              <w:pStyle w:val="Compact"/>
            </w:pPr>
            <w:r>
              <w:t xml:space="preserve">Persona o equipo responsable</w:t>
            </w:r>
          </w:p>
        </w:tc>
      </w:tr>
    </w:tbl>
    <w:p>
      <w:pPr>
        <w:pStyle w:val="BodyText"/>
      </w:pPr>
      <w:r>
        <w:t xml:space="preserve">El API expone estas estructuras tal cual se definen, permitiendo explorar catálogos y trazabilidad.</w:t>
      </w:r>
    </w:p>
    <w:bookmarkEnd w:id="25"/>
    <w:bookmarkStart w:id="26" w:name="buenas-prácticas-al-agregar-endpoints"/>
    <w:p>
      <w:pPr>
        <w:pStyle w:val="Heading2"/>
      </w:pPr>
      <w:r>
        <w:t xml:space="preserve">Buenas prácticas al agregar endpoints</w:t>
      </w:r>
    </w:p>
    <w:p>
      <w:pPr>
        <w:pStyle w:val="Compact"/>
        <w:numPr>
          <w:ilvl w:val="0"/>
          <w:numId w:val="1009"/>
        </w:numPr>
      </w:pPr>
      <w:r>
        <w:t xml:space="preserve">Añadir definición al catálogo (YAML) y actualizar</w:t>
      </w:r>
      <w:r>
        <w:t xml:space="preserve"> </w:t>
      </w:r>
      <w:r>
        <w:rPr>
          <w:rStyle w:val="VerbatimChar"/>
        </w:rPr>
        <w:t xml:space="preserve">ALLOWED_TABLES</w:t>
      </w:r>
      <w:r>
        <w:t xml:space="preserve"> </w:t>
      </w:r>
      <w:r>
        <w:t xml:space="preserve">o repositorio SQL.</w:t>
      </w:r>
    </w:p>
    <w:p>
      <w:pPr>
        <w:pStyle w:val="Compact"/>
        <w:numPr>
          <w:ilvl w:val="0"/>
          <w:numId w:val="1009"/>
        </w:numPr>
      </w:pPr>
      <w:r>
        <w:t xml:space="preserve">Documentar el uso en este archivo (nueva tabla en la sección Endpoints).</w:t>
      </w:r>
    </w:p>
    <w:p>
      <w:pPr>
        <w:pStyle w:val="Compact"/>
        <w:numPr>
          <w:ilvl w:val="0"/>
          <w:numId w:val="1009"/>
        </w:numPr>
      </w:pPr>
      <w:r>
        <w:t xml:space="preserve">Agregar pruebas en</w:t>
      </w:r>
      <w:r>
        <w:t xml:space="preserve"> </w:t>
      </w:r>
      <w:r>
        <w:rPr>
          <w:rStyle w:val="VerbatimChar"/>
        </w:rPr>
        <w:t xml:space="preserve">tests/api/</w:t>
      </w:r>
      <w:r>
        <w:t xml:space="preserve"> </w:t>
      </w:r>
      <w:r>
        <w:t xml:space="preserve">cubriendo casos base y errores.</w:t>
      </w:r>
    </w:p>
    <w:p>
      <w:pPr>
        <w:pStyle w:val="Compact"/>
        <w:numPr>
          <w:ilvl w:val="0"/>
          <w:numId w:val="1009"/>
        </w:numPr>
      </w:pPr>
      <w:r>
        <w:t xml:space="preserve">Propagar métricas: usar</w:t>
      </w:r>
      <w:r>
        <w:t xml:space="preserve"> </w:t>
      </w:r>
      <w:r>
        <w:rPr>
          <w:rStyle w:val="VerbatimChar"/>
        </w:rPr>
        <w:t xml:space="preserve">JSONResponse</w:t>
      </w:r>
      <w:r>
        <w:t xml:space="preserve"> </w:t>
      </w:r>
      <w:r>
        <w:t xml:space="preserve">y setear</w:t>
      </w:r>
      <w:r>
        <w:t xml:space="preserve"> </w:t>
      </w:r>
      <w:r>
        <w:rPr>
          <w:rStyle w:val="VerbatimChar"/>
        </w:rPr>
        <w:t xml:space="preserve">payload_meta</w:t>
      </w:r>
      <w:r>
        <w:t xml:space="preserve"> </w:t>
      </w:r>
      <w:r>
        <w:t xml:space="preserve">para que el middleware registre actividad.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2026-01-16T04:02:19Z</dcterms:created>
  <dcterms:modified xsi:type="dcterms:W3CDTF">2026-01-16T04:02:19Z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